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E2B0A" w:rsidR="006972C9" w:rsidP="006972C9" w:rsidRDefault="006972C9" w14:paraId="4D494872" w14:textId="77777777">
      <w:pPr>
        <w:tabs>
          <w:tab w:val="left" w:pos="2843"/>
        </w:tabs>
        <w:spacing w:line="240" w:lineRule="auto"/>
        <w:rPr>
          <w:sz w:val="24"/>
        </w:rPr>
      </w:pPr>
      <w:r w:rsidRPr="002E2B0A">
        <w:rPr>
          <w:sz w:val="24"/>
        </w:rPr>
        <w:tab/>
      </w:r>
    </w:p>
    <w:p w:rsidRPr="00BA0038" w:rsidR="00990364" w:rsidP="00990364" w:rsidRDefault="00990364" w14:paraId="0F6D2F02" w14:textId="77777777">
      <w:pPr>
        <w:pStyle w:val="CC"/>
        <w:spacing w:line="240" w:lineRule="auto"/>
        <w:jc w:val="center"/>
        <w:rPr>
          <w:b/>
          <w:sz w:val="28"/>
          <w:szCs w:val="22"/>
        </w:rPr>
      </w:pPr>
      <w:r w:rsidRPr="00BA0038">
        <w:rPr>
          <w:b/>
          <w:sz w:val="28"/>
          <w:szCs w:val="22"/>
        </w:rPr>
        <w:t>CIRCULAR EXTERNA</w:t>
      </w:r>
    </w:p>
    <w:p w:rsidRPr="00BA0038" w:rsidR="00BA0038" w:rsidP="00BA0038" w:rsidRDefault="00BA0038" w14:paraId="2D1B3B59" w14:textId="77777777">
      <w:pPr>
        <w:tabs>
          <w:tab w:val="left" w:pos="2843"/>
        </w:tabs>
        <w:spacing w:line="240" w:lineRule="auto"/>
        <w:jc w:val="center"/>
      </w:pPr>
      <w:sdt>
        <w:sdtPr>
          <w:alias w:val="Consecutivo"/>
          <w:tag w:val="Consecutivo"/>
          <w:id w:val="2052717023"/>
          <w:placeholder>
            <w:docPart w:val="34E5A1574F014F999FC4EFF1CF158AFE"/>
          </w:placeholder>
          <w:text/>
        </w:sdtPr>
        <w:sdtContent>
          <w:r>
            <w:t>SGF-2858-2020</w:t>
          </w:r>
        </w:sdtContent>
      </w:sdt>
      <w:r>
        <w:t xml:space="preserve"> - </w:t>
      </w:r>
      <w:sdt>
        <w:sdtPr>
          <w:alias w:val="Confidencialidad"/>
          <w:tag w:val="Confidencialidad"/>
          <w:id w:val="1447896894"/>
          <w:placeholder>
            <w:docPart w:val="D51101555F0A4B4BA1090EEB3C842C5F"/>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Content>
          <w:r w:rsidRPr="00BA0038">
            <w:t>SGF-PUBLICO</w:t>
          </w:r>
        </w:sdtContent>
      </w:sdt>
    </w:p>
    <w:p w:rsidRPr="00BA0038" w:rsidR="00BA0038" w:rsidP="00BA0038" w:rsidRDefault="00BA0038" w14:paraId="2BADE44A" w14:textId="77777777">
      <w:pPr>
        <w:pStyle w:val="Texto"/>
        <w:spacing w:before="0" w:after="0" w:line="240" w:lineRule="auto"/>
        <w:jc w:val="center"/>
      </w:pPr>
      <w:r w:rsidRPr="00BA0038">
        <w:t>14 de agosto del 2020</w:t>
      </w:r>
    </w:p>
    <w:p w:rsidRPr="00BE2F51" w:rsidR="00990364" w:rsidP="00990364" w:rsidRDefault="00990364" w14:paraId="298BC826" w14:textId="77777777">
      <w:pPr>
        <w:tabs>
          <w:tab w:val="left" w:pos="2843"/>
        </w:tabs>
        <w:spacing w:line="240" w:lineRule="auto"/>
        <w:rPr>
          <w:szCs w:val="22"/>
        </w:rPr>
      </w:pPr>
    </w:p>
    <w:p w:rsidRPr="00BA0038" w:rsidR="00990364" w:rsidP="00990364" w:rsidRDefault="00990364" w14:paraId="728A21BC" w14:textId="77777777">
      <w:pPr>
        <w:widowControl w:val="0"/>
        <w:spacing w:line="240" w:lineRule="auto"/>
        <w:ind w:left="34" w:right="86"/>
        <w:outlineLvl w:val="0"/>
        <w:rPr>
          <w:b/>
          <w:szCs w:val="22"/>
          <w:lang w:val="es-CR"/>
        </w:rPr>
      </w:pPr>
      <w:r w:rsidRPr="00BA0038">
        <w:rPr>
          <w:b/>
          <w:szCs w:val="22"/>
          <w:lang w:val="es-CR"/>
        </w:rPr>
        <w:t xml:space="preserve">Dirigida a: </w:t>
      </w:r>
    </w:p>
    <w:p w:rsidRPr="00BA0038" w:rsidR="00990364" w:rsidP="00990364" w:rsidRDefault="00990364" w14:paraId="383D1186" w14:textId="77777777">
      <w:pPr>
        <w:widowControl w:val="0"/>
        <w:spacing w:line="240" w:lineRule="auto"/>
        <w:ind w:left="34" w:right="86"/>
        <w:outlineLvl w:val="0"/>
        <w:rPr>
          <w:szCs w:val="22"/>
          <w:lang w:val="es-CR"/>
        </w:rPr>
      </w:pPr>
    </w:p>
    <w:p w:rsidRPr="00BA0038" w:rsidR="00990364" w:rsidP="00990364" w:rsidRDefault="00990364" w14:paraId="19D60EA2" w14:textId="77777777">
      <w:pPr>
        <w:widowControl w:val="0"/>
        <w:numPr>
          <w:ilvl w:val="0"/>
          <w:numId w:val="3"/>
        </w:numPr>
        <w:spacing w:line="240" w:lineRule="auto"/>
        <w:ind w:left="567" w:right="86" w:hanging="567"/>
        <w:contextualSpacing/>
        <w:rPr>
          <w:szCs w:val="22"/>
          <w:lang w:val="es-CR"/>
        </w:rPr>
      </w:pPr>
      <w:r w:rsidRPr="00BA0038">
        <w:rPr>
          <w:szCs w:val="22"/>
          <w:lang w:val="es-CR"/>
        </w:rPr>
        <w:t>Bancos Comerciales del Estado</w:t>
      </w:r>
    </w:p>
    <w:p w:rsidRPr="00BA0038" w:rsidR="00990364" w:rsidP="00990364" w:rsidRDefault="00990364" w14:paraId="43FC253B" w14:textId="77777777">
      <w:pPr>
        <w:widowControl w:val="0"/>
        <w:numPr>
          <w:ilvl w:val="0"/>
          <w:numId w:val="3"/>
        </w:numPr>
        <w:spacing w:line="240" w:lineRule="auto"/>
        <w:ind w:left="567" w:right="86" w:hanging="567"/>
        <w:contextualSpacing/>
        <w:rPr>
          <w:szCs w:val="22"/>
          <w:lang w:val="es-CR"/>
        </w:rPr>
      </w:pPr>
      <w:r w:rsidRPr="00BA0038">
        <w:rPr>
          <w:szCs w:val="22"/>
          <w:lang w:val="es-CR"/>
        </w:rPr>
        <w:t>Bancos Creados por Leyes Especiales</w:t>
      </w:r>
    </w:p>
    <w:p w:rsidRPr="00BA0038" w:rsidR="00990364" w:rsidP="00990364" w:rsidRDefault="00990364" w14:paraId="3B2D341B" w14:textId="77777777">
      <w:pPr>
        <w:widowControl w:val="0"/>
        <w:numPr>
          <w:ilvl w:val="0"/>
          <w:numId w:val="3"/>
        </w:numPr>
        <w:spacing w:line="240" w:lineRule="auto"/>
        <w:ind w:left="567" w:right="86" w:hanging="567"/>
        <w:contextualSpacing/>
        <w:rPr>
          <w:szCs w:val="22"/>
          <w:lang w:val="es-CR"/>
        </w:rPr>
      </w:pPr>
      <w:r w:rsidRPr="00BA0038">
        <w:rPr>
          <w:szCs w:val="22"/>
          <w:lang w:val="es-CR"/>
        </w:rPr>
        <w:t xml:space="preserve">Bancos Privados </w:t>
      </w:r>
    </w:p>
    <w:p w:rsidRPr="00BA0038" w:rsidR="00990364" w:rsidP="00990364" w:rsidRDefault="00990364" w14:paraId="5034CA52" w14:textId="77777777">
      <w:pPr>
        <w:widowControl w:val="0"/>
        <w:numPr>
          <w:ilvl w:val="0"/>
          <w:numId w:val="3"/>
        </w:numPr>
        <w:spacing w:line="240" w:lineRule="auto"/>
        <w:ind w:left="567" w:right="86" w:hanging="567"/>
        <w:contextualSpacing/>
        <w:rPr>
          <w:szCs w:val="22"/>
          <w:lang w:val="es-CR"/>
        </w:rPr>
      </w:pPr>
      <w:r w:rsidRPr="00BA0038">
        <w:rPr>
          <w:szCs w:val="22"/>
          <w:lang w:val="es-CR"/>
        </w:rPr>
        <w:t>Organizaciones Cooperativas de Ahorro y Crédito</w:t>
      </w:r>
    </w:p>
    <w:p w:rsidRPr="00BA0038" w:rsidR="00990364" w:rsidP="00990364" w:rsidRDefault="00990364" w14:paraId="144295D1" w14:textId="77777777">
      <w:pPr>
        <w:widowControl w:val="0"/>
        <w:numPr>
          <w:ilvl w:val="0"/>
          <w:numId w:val="3"/>
        </w:numPr>
        <w:spacing w:line="240" w:lineRule="auto"/>
        <w:ind w:left="567" w:right="86" w:hanging="567"/>
        <w:contextualSpacing/>
        <w:rPr>
          <w:szCs w:val="22"/>
          <w:lang w:val="es-CR"/>
        </w:rPr>
      </w:pPr>
      <w:r w:rsidRPr="00BA0038">
        <w:rPr>
          <w:szCs w:val="22"/>
          <w:lang w:val="es-CR"/>
        </w:rPr>
        <w:t>Empresas Financieras no Bancarias</w:t>
      </w:r>
    </w:p>
    <w:p w:rsidRPr="00BA0038" w:rsidR="00990364" w:rsidP="00990364" w:rsidRDefault="00990364" w14:paraId="597A2739" w14:textId="77777777">
      <w:pPr>
        <w:widowControl w:val="0"/>
        <w:numPr>
          <w:ilvl w:val="0"/>
          <w:numId w:val="3"/>
        </w:numPr>
        <w:spacing w:line="240" w:lineRule="auto"/>
        <w:ind w:left="567" w:right="86" w:hanging="567"/>
        <w:contextualSpacing/>
        <w:rPr>
          <w:szCs w:val="22"/>
          <w:lang w:val="es-CR"/>
        </w:rPr>
      </w:pPr>
      <w:r w:rsidRPr="00BA0038">
        <w:rPr>
          <w:szCs w:val="22"/>
          <w:lang w:val="es-CR"/>
        </w:rPr>
        <w:t>Entidades Autorizadas del Sistema Financiera Nacional para la Vivienda</w:t>
      </w:r>
    </w:p>
    <w:p w:rsidRPr="00BA0038" w:rsidR="00990364" w:rsidP="00990364" w:rsidRDefault="00990364" w14:paraId="3E3FADAB" w14:textId="77777777">
      <w:pPr>
        <w:widowControl w:val="0"/>
        <w:numPr>
          <w:ilvl w:val="0"/>
          <w:numId w:val="3"/>
        </w:numPr>
        <w:spacing w:line="240" w:lineRule="auto"/>
        <w:ind w:left="567" w:right="86" w:hanging="567"/>
        <w:contextualSpacing/>
        <w:rPr>
          <w:szCs w:val="22"/>
          <w:lang w:val="es-CR"/>
        </w:rPr>
      </w:pPr>
      <w:r w:rsidRPr="00BA0038">
        <w:rPr>
          <w:szCs w:val="22"/>
          <w:lang w:val="es-CR"/>
        </w:rPr>
        <w:t>Otras Entidades Financieras</w:t>
      </w:r>
    </w:p>
    <w:p w:rsidRPr="00BE2F51" w:rsidR="00990364" w:rsidP="00990364" w:rsidRDefault="00990364" w14:paraId="2BF64B8B" w14:textId="77777777">
      <w:pPr>
        <w:spacing w:line="240" w:lineRule="auto"/>
        <w:rPr>
          <w:b/>
          <w:szCs w:val="22"/>
        </w:rPr>
      </w:pPr>
    </w:p>
    <w:p w:rsidRPr="00BE2F51" w:rsidR="00990364" w:rsidP="00990364" w:rsidRDefault="00990364" w14:paraId="22BCE5D8" w14:textId="77777777">
      <w:pPr>
        <w:spacing w:line="240" w:lineRule="auto"/>
        <w:contextualSpacing/>
        <w:rPr>
          <w:b/>
          <w:szCs w:val="22"/>
          <w:lang w:val="es-CR"/>
        </w:rPr>
      </w:pPr>
      <w:r w:rsidRPr="00BE2F51">
        <w:rPr>
          <w:b/>
          <w:szCs w:val="22"/>
          <w:lang w:val="es-CR"/>
        </w:rPr>
        <w:t>Asunto: Creación de nuevos códigos para la Tabla</w:t>
      </w:r>
      <w:r>
        <w:rPr>
          <w:b/>
          <w:szCs w:val="22"/>
          <w:lang w:val="es-CR"/>
        </w:rPr>
        <w:t xml:space="preserve"> “</w:t>
      </w:r>
      <w:r w:rsidRPr="00BE2F51">
        <w:rPr>
          <w:b/>
          <w:szCs w:val="22"/>
          <w:lang w:val="es-CR"/>
        </w:rPr>
        <w:t>Tipo Modificación</w:t>
      </w:r>
      <w:r>
        <w:rPr>
          <w:b/>
          <w:szCs w:val="22"/>
          <w:lang w:val="es-CR"/>
        </w:rPr>
        <w:t>”</w:t>
      </w:r>
      <w:r w:rsidRPr="00BE2F51">
        <w:rPr>
          <w:b/>
          <w:szCs w:val="22"/>
          <w:lang w:val="es-CR"/>
        </w:rPr>
        <w:t xml:space="preserve"> relacionados con la identificación de modificaciones a operaciones </w:t>
      </w:r>
      <w:r>
        <w:rPr>
          <w:b/>
          <w:szCs w:val="22"/>
          <w:lang w:val="es-CR"/>
        </w:rPr>
        <w:t xml:space="preserve">de crédito </w:t>
      </w:r>
      <w:r w:rsidRPr="00BE2F51">
        <w:rPr>
          <w:b/>
          <w:szCs w:val="22"/>
          <w:lang w:val="es-CR"/>
        </w:rPr>
        <w:t xml:space="preserve">por COVID-19 y Ley </w:t>
      </w:r>
      <w:r>
        <w:rPr>
          <w:b/>
          <w:szCs w:val="22"/>
          <w:lang w:val="es-CR"/>
        </w:rPr>
        <w:t>N</w:t>
      </w:r>
      <w:r>
        <w:rPr>
          <w:rFonts w:ascii="Cambria Math" w:hAnsi="Cambria Math" w:cs="Cambria Math"/>
          <w:b/>
          <w:szCs w:val="22"/>
          <w:lang w:val="es-CR"/>
        </w:rPr>
        <w:t>°</w:t>
      </w:r>
      <w:r>
        <w:rPr>
          <w:b/>
          <w:szCs w:val="22"/>
          <w:lang w:val="es-CR"/>
        </w:rPr>
        <w:t xml:space="preserve"> </w:t>
      </w:r>
      <w:r w:rsidRPr="00BE2F51">
        <w:rPr>
          <w:b/>
          <w:szCs w:val="22"/>
          <w:lang w:val="es-CR"/>
        </w:rPr>
        <w:t xml:space="preserve">9859; creación de </w:t>
      </w:r>
      <w:r>
        <w:rPr>
          <w:b/>
          <w:szCs w:val="22"/>
          <w:lang w:val="es-CR"/>
        </w:rPr>
        <w:t xml:space="preserve">la </w:t>
      </w:r>
      <w:r w:rsidRPr="00BE2F51">
        <w:rPr>
          <w:b/>
          <w:szCs w:val="22"/>
          <w:lang w:val="es-CR"/>
        </w:rPr>
        <w:t xml:space="preserve">clase de datos 39 para el reporte de </w:t>
      </w:r>
      <w:r>
        <w:rPr>
          <w:b/>
          <w:szCs w:val="22"/>
          <w:lang w:val="es-CR"/>
        </w:rPr>
        <w:t xml:space="preserve">las </w:t>
      </w:r>
      <w:r w:rsidRPr="00BE2F51">
        <w:rPr>
          <w:b/>
          <w:szCs w:val="22"/>
          <w:lang w:val="es-CR"/>
        </w:rPr>
        <w:t xml:space="preserve">modificaciones </w:t>
      </w:r>
      <w:r>
        <w:rPr>
          <w:b/>
          <w:szCs w:val="22"/>
          <w:lang w:val="es-CR"/>
        </w:rPr>
        <w:t xml:space="preserve">de operaciones crediticias </w:t>
      </w:r>
      <w:r w:rsidRPr="00BE2F51">
        <w:rPr>
          <w:b/>
          <w:szCs w:val="22"/>
          <w:lang w:val="es-CR"/>
        </w:rPr>
        <w:t>efectuadas ent</w:t>
      </w:r>
      <w:r>
        <w:rPr>
          <w:b/>
          <w:szCs w:val="22"/>
          <w:lang w:val="es-CR"/>
        </w:rPr>
        <w:t>re marzo y julio 2020 y ajustes</w:t>
      </w:r>
      <w:r w:rsidRPr="00BE2F51">
        <w:rPr>
          <w:b/>
          <w:szCs w:val="22"/>
          <w:lang w:val="es-CR"/>
        </w:rPr>
        <w:t xml:space="preserve"> a validaciones relacionadas.</w:t>
      </w:r>
    </w:p>
    <w:p w:rsidRPr="00BE2F51" w:rsidR="00990364" w:rsidP="00990364" w:rsidRDefault="00990364" w14:paraId="43CA5AD9" w14:textId="77777777">
      <w:pPr>
        <w:spacing w:line="240" w:lineRule="auto"/>
        <w:contextualSpacing/>
        <w:rPr>
          <w:szCs w:val="22"/>
        </w:rPr>
      </w:pPr>
    </w:p>
    <w:p w:rsidRPr="00BE2F51" w:rsidR="00990364" w:rsidP="00990364" w:rsidRDefault="00990364" w14:paraId="450C0655" w14:textId="77777777">
      <w:pPr>
        <w:spacing w:line="240" w:lineRule="auto"/>
        <w:contextualSpacing/>
        <w:rPr>
          <w:szCs w:val="22"/>
        </w:rPr>
      </w:pPr>
      <w:r w:rsidRPr="00BE2F51">
        <w:rPr>
          <w:szCs w:val="22"/>
          <w:lang w:val="es-CR"/>
        </w:rPr>
        <w:t xml:space="preserve">El Despacho del Superintendente de la Superintendencia General de Entidades Financieras (SUGEF), </w:t>
      </w:r>
    </w:p>
    <w:p w:rsidRPr="00BE2F51" w:rsidR="00990364" w:rsidP="00990364" w:rsidRDefault="00990364" w14:paraId="795BBA00" w14:textId="77777777">
      <w:pPr>
        <w:tabs>
          <w:tab w:val="left" w:pos="2843"/>
        </w:tabs>
        <w:spacing w:line="240" w:lineRule="auto"/>
        <w:contextualSpacing/>
        <w:rPr>
          <w:b/>
          <w:szCs w:val="22"/>
        </w:rPr>
      </w:pPr>
    </w:p>
    <w:p w:rsidRPr="00BE2F51" w:rsidR="00990364" w:rsidP="00990364" w:rsidRDefault="00990364" w14:paraId="4EFB8B02" w14:textId="77777777">
      <w:pPr>
        <w:tabs>
          <w:tab w:val="left" w:pos="2843"/>
        </w:tabs>
        <w:spacing w:line="240" w:lineRule="auto"/>
        <w:contextualSpacing/>
        <w:rPr>
          <w:b/>
          <w:szCs w:val="22"/>
        </w:rPr>
      </w:pPr>
      <w:r w:rsidRPr="00BE2F51">
        <w:rPr>
          <w:b/>
          <w:szCs w:val="22"/>
        </w:rPr>
        <w:t>Considerando que:</w:t>
      </w:r>
    </w:p>
    <w:p w:rsidRPr="00BE2F51" w:rsidR="00990364" w:rsidP="00990364" w:rsidRDefault="00990364" w14:paraId="2310B30E" w14:textId="77777777">
      <w:pPr>
        <w:tabs>
          <w:tab w:val="left" w:pos="6990"/>
        </w:tabs>
        <w:spacing w:line="240" w:lineRule="auto"/>
        <w:contextualSpacing/>
        <w:rPr>
          <w:szCs w:val="22"/>
        </w:rPr>
      </w:pPr>
      <w:r w:rsidRPr="00BE2F51">
        <w:rPr>
          <w:szCs w:val="22"/>
        </w:rPr>
        <w:tab/>
      </w:r>
    </w:p>
    <w:p w:rsidRPr="00BE2F51" w:rsidR="00990364" w:rsidP="00990364" w:rsidRDefault="00990364" w14:paraId="52B1E611" w14:textId="77777777">
      <w:pPr>
        <w:pStyle w:val="Prrafodelista"/>
        <w:numPr>
          <w:ilvl w:val="0"/>
          <w:numId w:val="4"/>
        </w:numPr>
        <w:ind w:left="709" w:hanging="425"/>
        <w:contextualSpacing/>
        <w:jc w:val="both"/>
        <w:rPr>
          <w:rFonts w:ascii="Cambria" w:hAnsi="Cambria"/>
          <w:sz w:val="22"/>
          <w:szCs w:val="22"/>
        </w:rPr>
      </w:pPr>
      <w:r w:rsidRPr="00BE2F51">
        <w:rPr>
          <w:rFonts w:ascii="Cambria" w:hAnsi="Cambria"/>
          <w:sz w:val="22"/>
          <w:szCs w:val="22"/>
        </w:rPr>
        <w:t xml:space="preserve">De conformidad con el </w:t>
      </w:r>
      <w:r>
        <w:rPr>
          <w:rFonts w:ascii="Cambria" w:hAnsi="Cambria"/>
          <w:sz w:val="22"/>
          <w:szCs w:val="22"/>
        </w:rPr>
        <w:t>a</w:t>
      </w:r>
      <w:r w:rsidRPr="00BE2F51">
        <w:rPr>
          <w:rFonts w:ascii="Cambria" w:hAnsi="Cambria"/>
          <w:sz w:val="22"/>
          <w:szCs w:val="22"/>
        </w:rPr>
        <w:t>rtículo 131, inciso b) de la Ley N°7558, corresponde al Superintendente tomar las medidas necesarias para ejecutar los acuerdos del Consejo Nacional de Supervisión del Sistema Financiero (CONASSIF).</w:t>
      </w:r>
    </w:p>
    <w:p w:rsidRPr="00BE2F51" w:rsidR="00990364" w:rsidP="00990364" w:rsidRDefault="00990364" w14:paraId="0DD40D0B" w14:textId="77777777">
      <w:pPr>
        <w:autoSpaceDE w:val="0"/>
        <w:autoSpaceDN w:val="0"/>
        <w:adjustRightInd w:val="0"/>
        <w:spacing w:line="240" w:lineRule="auto"/>
        <w:ind w:left="709" w:hanging="425"/>
        <w:contextualSpacing/>
        <w:rPr>
          <w:szCs w:val="22"/>
        </w:rPr>
      </w:pPr>
    </w:p>
    <w:p w:rsidRPr="00BE2F51" w:rsidR="00990364" w:rsidP="00990364" w:rsidRDefault="00990364" w14:paraId="1B0523EF" w14:textId="77777777">
      <w:pPr>
        <w:pStyle w:val="Prrafodelista"/>
        <w:numPr>
          <w:ilvl w:val="0"/>
          <w:numId w:val="4"/>
        </w:numPr>
        <w:ind w:left="709" w:hanging="425"/>
        <w:jc w:val="both"/>
        <w:rPr>
          <w:rFonts w:ascii="Cambria" w:hAnsi="Cambria" w:cstheme="minorHAnsi"/>
          <w:sz w:val="22"/>
          <w:szCs w:val="22"/>
        </w:rPr>
      </w:pPr>
      <w:r w:rsidRPr="00BE2F51">
        <w:rPr>
          <w:rFonts w:ascii="Cambria" w:hAnsi="Cambria"/>
          <w:sz w:val="22"/>
          <w:szCs w:val="22"/>
        </w:rPr>
        <w:t>El Consejo Nacional de Supervisión del Sistema Financiero aprobó</w:t>
      </w:r>
      <w:r>
        <w:rPr>
          <w:rFonts w:ascii="Cambria" w:hAnsi="Cambria"/>
          <w:sz w:val="22"/>
          <w:szCs w:val="22"/>
        </w:rPr>
        <w:t>, como consta en</w:t>
      </w:r>
      <w:r w:rsidRPr="00BE2F51">
        <w:rPr>
          <w:rFonts w:ascii="Cambria" w:hAnsi="Cambria"/>
          <w:sz w:val="22"/>
          <w:szCs w:val="22"/>
        </w:rPr>
        <w:t xml:space="preserve"> el artículo 3 del acta de la sesión 1566-2020, celebrada el 23 de marzo de 2020,</w:t>
      </w:r>
      <w:r w:rsidRPr="00BE2F51">
        <w:rPr>
          <w:rFonts w:ascii="Cambria" w:hAnsi="Cambria" w:cstheme="minorHAnsi"/>
          <w:sz w:val="22"/>
          <w:szCs w:val="22"/>
        </w:rPr>
        <w:t xml:space="preserve"> agregar el </w:t>
      </w:r>
      <w:r>
        <w:rPr>
          <w:rFonts w:ascii="Cambria" w:hAnsi="Cambria" w:cstheme="minorHAnsi"/>
          <w:sz w:val="22"/>
          <w:szCs w:val="22"/>
        </w:rPr>
        <w:t>t</w:t>
      </w:r>
      <w:r w:rsidRPr="00BE2F51">
        <w:rPr>
          <w:rFonts w:ascii="Cambria" w:hAnsi="Cambria" w:cstheme="minorHAnsi"/>
          <w:sz w:val="22"/>
          <w:szCs w:val="22"/>
        </w:rPr>
        <w:t xml:space="preserve">ransitorio XVII </w:t>
      </w:r>
      <w:r>
        <w:rPr>
          <w:rFonts w:ascii="Cambria" w:hAnsi="Cambria" w:cstheme="minorHAnsi"/>
          <w:sz w:val="22"/>
          <w:szCs w:val="22"/>
        </w:rPr>
        <w:t>a</w:t>
      </w:r>
      <w:r w:rsidRPr="00BE2F51">
        <w:rPr>
          <w:rFonts w:ascii="Cambria" w:hAnsi="Cambria" w:cstheme="minorHAnsi"/>
          <w:sz w:val="22"/>
          <w:szCs w:val="22"/>
        </w:rPr>
        <w:t>l Acuerdo SUGEF 1-05</w:t>
      </w:r>
      <w:r>
        <w:rPr>
          <w:rFonts w:ascii="Cambria" w:hAnsi="Cambria" w:cstheme="minorHAnsi"/>
          <w:sz w:val="22"/>
          <w:szCs w:val="22"/>
        </w:rPr>
        <w:t>,</w:t>
      </w:r>
      <w:r w:rsidRPr="00BE2F51">
        <w:rPr>
          <w:rFonts w:ascii="Cambria" w:hAnsi="Cambria" w:cstheme="minorHAnsi"/>
          <w:sz w:val="22"/>
          <w:szCs w:val="22"/>
        </w:rPr>
        <w:t xml:space="preserve"> de conformidad </w:t>
      </w:r>
      <w:r>
        <w:rPr>
          <w:rFonts w:ascii="Cambria" w:hAnsi="Cambria" w:cstheme="minorHAnsi"/>
          <w:sz w:val="22"/>
          <w:szCs w:val="22"/>
        </w:rPr>
        <w:t>a</w:t>
      </w:r>
      <w:r w:rsidRPr="00BE2F51">
        <w:rPr>
          <w:rFonts w:ascii="Cambria" w:hAnsi="Cambria" w:cstheme="minorHAnsi"/>
          <w:sz w:val="22"/>
          <w:szCs w:val="22"/>
        </w:rPr>
        <w:t>l siguiente texto:</w:t>
      </w:r>
    </w:p>
    <w:p w:rsidRPr="00BE2F51" w:rsidR="00990364" w:rsidP="00990364" w:rsidRDefault="00990364" w14:paraId="2F403F7F" w14:textId="77777777">
      <w:pPr>
        <w:pStyle w:val="Prrafodelista"/>
        <w:ind w:left="720"/>
        <w:jc w:val="both"/>
        <w:rPr>
          <w:rFonts w:ascii="Cambria" w:hAnsi="Cambria" w:cstheme="minorHAnsi"/>
          <w:sz w:val="22"/>
          <w:szCs w:val="22"/>
        </w:rPr>
      </w:pPr>
    </w:p>
    <w:p w:rsidR="00990364" w:rsidP="00990364" w:rsidRDefault="00990364" w14:paraId="4ED0C367" w14:textId="77777777">
      <w:pPr>
        <w:pStyle w:val="Prrafodelista"/>
        <w:ind w:left="720"/>
        <w:jc w:val="both"/>
        <w:rPr>
          <w:rFonts w:ascii="Cambria" w:hAnsi="Cambria" w:cstheme="minorHAnsi"/>
          <w:i/>
          <w:sz w:val="22"/>
          <w:szCs w:val="22"/>
        </w:rPr>
      </w:pPr>
      <w:r w:rsidRPr="00BE2F51">
        <w:rPr>
          <w:rFonts w:ascii="Cambria" w:hAnsi="Cambria" w:cstheme="minorHAnsi"/>
          <w:i/>
          <w:sz w:val="22"/>
          <w:szCs w:val="22"/>
        </w:rPr>
        <w:t>“Transitorio XVII. A partir de esta modificación y hasta el  31 de marzo de 2021, y en respuesta a la declaratoria de emergencia nacional mediante Decreto Ejecutivo N. 42227-MP-S del 16 de marzo de 2020, debido a la situación de emergencia sanitaria provocada por la enfermedad COVID19, se admite que a criterio de cada entidad supervisada, esta tome acciones inmediatas para exceptuar en sus políticas y procedimientos crediticios, la presentación de información usualmente requerida para efectos de análisis de capacidad de pago, con el fin único de asegurar el otorgamiento expedito de prórrogas, readecuaciones o refinanciamientos, o una combinación de éstas.</w:t>
      </w:r>
    </w:p>
    <w:p w:rsidRPr="00BE2F51" w:rsidR="00990364" w:rsidP="00990364" w:rsidRDefault="00990364" w14:paraId="39E51F35" w14:textId="77777777">
      <w:pPr>
        <w:pStyle w:val="Prrafodelista"/>
        <w:ind w:left="720"/>
        <w:jc w:val="both"/>
        <w:rPr>
          <w:rFonts w:ascii="Cambria" w:hAnsi="Cambria" w:cstheme="minorHAnsi"/>
          <w:i/>
          <w:sz w:val="22"/>
          <w:szCs w:val="22"/>
        </w:rPr>
      </w:pPr>
    </w:p>
    <w:p w:rsidR="00990364" w:rsidP="00990364" w:rsidRDefault="00990364" w14:paraId="25EB1776" w14:textId="77777777">
      <w:pPr>
        <w:pStyle w:val="Prrafodelista"/>
        <w:ind w:left="720"/>
        <w:jc w:val="both"/>
        <w:rPr>
          <w:rFonts w:ascii="Cambria" w:hAnsi="Cambria" w:cstheme="minorHAnsi"/>
          <w:i/>
          <w:sz w:val="22"/>
          <w:szCs w:val="22"/>
        </w:rPr>
      </w:pPr>
      <w:r w:rsidRPr="00BE2F51">
        <w:rPr>
          <w:rFonts w:ascii="Cambria" w:hAnsi="Cambria" w:cstheme="minorHAnsi"/>
          <w:i/>
          <w:sz w:val="22"/>
          <w:szCs w:val="22"/>
        </w:rPr>
        <w:t>En estos casos y durante el plazo indicado, podrá mantenerse sin cambio el Nivel de Capacidad de Pago que el cliente poseía previo a la solicitud de la modificación en las condiciones del crédito.</w:t>
      </w:r>
    </w:p>
    <w:p w:rsidRPr="00BE2F51" w:rsidR="00990364" w:rsidP="00990364" w:rsidRDefault="00990364" w14:paraId="46EFD03A" w14:textId="77777777">
      <w:pPr>
        <w:pStyle w:val="Prrafodelista"/>
        <w:ind w:left="720"/>
        <w:jc w:val="both"/>
        <w:rPr>
          <w:rFonts w:ascii="Cambria" w:hAnsi="Cambria" w:cstheme="minorHAnsi"/>
          <w:i/>
          <w:sz w:val="22"/>
          <w:szCs w:val="22"/>
        </w:rPr>
      </w:pPr>
    </w:p>
    <w:p w:rsidR="00BA0038" w:rsidP="00990364" w:rsidRDefault="00BA0038" w14:paraId="5FA25F30" w14:textId="77777777">
      <w:pPr>
        <w:pStyle w:val="Prrafodelista"/>
        <w:ind w:left="720"/>
        <w:jc w:val="both"/>
        <w:rPr>
          <w:rFonts w:ascii="Cambria" w:hAnsi="Cambria" w:cstheme="minorHAnsi"/>
          <w:i/>
          <w:sz w:val="22"/>
          <w:szCs w:val="22"/>
        </w:rPr>
      </w:pPr>
    </w:p>
    <w:p w:rsidR="00BA0038" w:rsidP="00990364" w:rsidRDefault="00BA0038" w14:paraId="05492987" w14:textId="77777777">
      <w:pPr>
        <w:pStyle w:val="Prrafodelista"/>
        <w:ind w:left="720"/>
        <w:jc w:val="both"/>
        <w:rPr>
          <w:rFonts w:ascii="Cambria" w:hAnsi="Cambria" w:cstheme="minorHAnsi"/>
          <w:i/>
          <w:sz w:val="22"/>
          <w:szCs w:val="22"/>
        </w:rPr>
      </w:pPr>
    </w:p>
    <w:p w:rsidR="00BA0038" w:rsidP="00990364" w:rsidRDefault="00BA0038" w14:paraId="0E1B79FB" w14:textId="77777777">
      <w:pPr>
        <w:pStyle w:val="Prrafodelista"/>
        <w:ind w:left="720"/>
        <w:jc w:val="both"/>
        <w:rPr>
          <w:rFonts w:ascii="Cambria" w:hAnsi="Cambria" w:cstheme="minorHAnsi"/>
          <w:i/>
          <w:sz w:val="22"/>
          <w:szCs w:val="22"/>
        </w:rPr>
      </w:pPr>
    </w:p>
    <w:p w:rsidRPr="00BE2F51" w:rsidR="00990364" w:rsidP="00990364" w:rsidRDefault="00990364" w14:paraId="79140A0C" w14:textId="77777777">
      <w:pPr>
        <w:pStyle w:val="Prrafodelista"/>
        <w:ind w:left="720"/>
        <w:jc w:val="both"/>
        <w:rPr>
          <w:rFonts w:ascii="Cambria" w:hAnsi="Cambria" w:cstheme="minorHAnsi"/>
          <w:sz w:val="22"/>
          <w:szCs w:val="22"/>
        </w:rPr>
      </w:pPr>
      <w:r w:rsidRPr="00BE2F51">
        <w:rPr>
          <w:rFonts w:ascii="Cambria" w:hAnsi="Cambria" w:cstheme="minorHAnsi"/>
          <w:i/>
          <w:sz w:val="22"/>
          <w:szCs w:val="22"/>
        </w:rPr>
        <w:t>La Superintendencia General establecerá en el SICVECA crediticio, el código identificador con que cada entidad supervisada deberá reportar los casos exceptuados mediante este Transitorio.”</w:t>
      </w:r>
      <w:r>
        <w:rPr>
          <w:rFonts w:ascii="Cambria" w:hAnsi="Cambria" w:cstheme="minorHAnsi"/>
          <w:i/>
          <w:sz w:val="22"/>
          <w:szCs w:val="22"/>
        </w:rPr>
        <w:t>.</w:t>
      </w:r>
    </w:p>
    <w:p w:rsidRPr="00BE2F51" w:rsidR="00990364" w:rsidP="00990364" w:rsidRDefault="00990364" w14:paraId="10D26B6B" w14:textId="77777777">
      <w:pPr>
        <w:spacing w:line="240" w:lineRule="auto"/>
        <w:ind w:left="709"/>
        <w:rPr>
          <w:rFonts w:cstheme="minorHAnsi"/>
          <w:i/>
          <w:szCs w:val="22"/>
        </w:rPr>
      </w:pPr>
    </w:p>
    <w:p w:rsidRPr="00BE2F51" w:rsidR="00990364" w:rsidP="00990364" w:rsidRDefault="00990364" w14:paraId="736FA17D" w14:textId="77777777">
      <w:pPr>
        <w:pStyle w:val="Prrafodelista"/>
        <w:numPr>
          <w:ilvl w:val="0"/>
          <w:numId w:val="4"/>
        </w:numPr>
        <w:ind w:left="709" w:hanging="425"/>
        <w:jc w:val="both"/>
        <w:rPr>
          <w:rFonts w:ascii="Cambria" w:hAnsi="Cambria" w:cstheme="minorHAnsi"/>
          <w:sz w:val="22"/>
          <w:szCs w:val="22"/>
        </w:rPr>
      </w:pPr>
      <w:r w:rsidRPr="00BE2F51">
        <w:rPr>
          <w:rFonts w:ascii="Cambria" w:hAnsi="Cambria"/>
          <w:sz w:val="22"/>
          <w:szCs w:val="22"/>
        </w:rPr>
        <w:t>El Consejo Nacional de Supervisión del Sistema Financiero aprobó</w:t>
      </w:r>
      <w:r>
        <w:rPr>
          <w:rFonts w:ascii="Cambria" w:hAnsi="Cambria"/>
          <w:sz w:val="22"/>
          <w:szCs w:val="22"/>
        </w:rPr>
        <w:t xml:space="preserve">, según </w:t>
      </w:r>
      <w:r w:rsidRPr="00BE2F51">
        <w:rPr>
          <w:rFonts w:ascii="Cambria" w:hAnsi="Cambria"/>
          <w:sz w:val="22"/>
          <w:szCs w:val="22"/>
        </w:rPr>
        <w:t>artículo 3</w:t>
      </w:r>
      <w:r>
        <w:rPr>
          <w:rFonts w:ascii="Cambria" w:hAnsi="Cambria"/>
          <w:sz w:val="22"/>
          <w:szCs w:val="22"/>
        </w:rPr>
        <w:t xml:space="preserve"> </w:t>
      </w:r>
      <w:r w:rsidRPr="00BE2F51">
        <w:rPr>
          <w:rFonts w:ascii="Cambria" w:hAnsi="Cambria"/>
          <w:sz w:val="22"/>
          <w:szCs w:val="22"/>
        </w:rPr>
        <w:t>del acta de la sesión 1566-2020, celebrada el 23 de marzo de 2020</w:t>
      </w:r>
      <w:r>
        <w:rPr>
          <w:rFonts w:ascii="Cambria" w:hAnsi="Cambria"/>
          <w:sz w:val="22"/>
          <w:szCs w:val="22"/>
        </w:rPr>
        <w:t>,</w:t>
      </w:r>
      <w:r w:rsidRPr="00BE2F51">
        <w:rPr>
          <w:rFonts w:ascii="Cambria" w:hAnsi="Cambria" w:cstheme="minorHAnsi"/>
          <w:sz w:val="22"/>
          <w:szCs w:val="22"/>
        </w:rPr>
        <w:t xml:space="preserve"> agregar el </w:t>
      </w:r>
      <w:r>
        <w:rPr>
          <w:rFonts w:ascii="Cambria" w:hAnsi="Cambria" w:cstheme="minorHAnsi"/>
          <w:sz w:val="22"/>
          <w:szCs w:val="22"/>
        </w:rPr>
        <w:t>t</w:t>
      </w:r>
      <w:r w:rsidRPr="00BE2F51">
        <w:rPr>
          <w:rFonts w:ascii="Cambria" w:hAnsi="Cambria" w:cstheme="minorHAnsi"/>
          <w:sz w:val="22"/>
          <w:szCs w:val="22"/>
        </w:rPr>
        <w:t>ransitorio VI  del Acuerdo SUGEF 15-16</w:t>
      </w:r>
      <w:r>
        <w:rPr>
          <w:rFonts w:ascii="Cambria" w:hAnsi="Cambria" w:cstheme="minorHAnsi"/>
          <w:sz w:val="22"/>
          <w:szCs w:val="22"/>
        </w:rPr>
        <w:t>,</w:t>
      </w:r>
      <w:r w:rsidRPr="00BE2F51">
        <w:rPr>
          <w:rFonts w:ascii="Cambria" w:hAnsi="Cambria" w:cstheme="minorHAnsi"/>
          <w:sz w:val="22"/>
          <w:szCs w:val="22"/>
        </w:rPr>
        <w:t xml:space="preserve"> de conformidad </w:t>
      </w:r>
      <w:r>
        <w:rPr>
          <w:rFonts w:ascii="Cambria" w:hAnsi="Cambria" w:cstheme="minorHAnsi"/>
          <w:sz w:val="22"/>
          <w:szCs w:val="22"/>
        </w:rPr>
        <w:t>a</w:t>
      </w:r>
      <w:r w:rsidRPr="00BE2F51">
        <w:rPr>
          <w:rFonts w:ascii="Cambria" w:hAnsi="Cambria" w:cstheme="minorHAnsi"/>
          <w:sz w:val="22"/>
          <w:szCs w:val="22"/>
        </w:rPr>
        <w:t xml:space="preserve">l siguiente texto: </w:t>
      </w:r>
    </w:p>
    <w:p w:rsidRPr="00BE2F51" w:rsidR="00990364" w:rsidP="00990364" w:rsidRDefault="00990364" w14:paraId="1C932C67" w14:textId="77777777">
      <w:pPr>
        <w:pStyle w:val="Prrafodelista"/>
        <w:ind w:left="720"/>
        <w:jc w:val="both"/>
        <w:rPr>
          <w:rFonts w:ascii="Cambria" w:hAnsi="Cambria" w:cstheme="minorHAnsi"/>
          <w:sz w:val="22"/>
          <w:szCs w:val="22"/>
        </w:rPr>
      </w:pPr>
    </w:p>
    <w:p w:rsidR="00990364" w:rsidP="00990364" w:rsidRDefault="00990364" w14:paraId="551B25C9" w14:textId="77777777">
      <w:pPr>
        <w:pStyle w:val="Prrafodelista"/>
        <w:ind w:left="720"/>
        <w:jc w:val="both"/>
        <w:rPr>
          <w:rFonts w:ascii="Cambria" w:hAnsi="Cambria" w:cstheme="minorHAnsi"/>
          <w:i/>
          <w:sz w:val="22"/>
          <w:szCs w:val="22"/>
        </w:rPr>
      </w:pPr>
      <w:r w:rsidRPr="00BE2F51">
        <w:rPr>
          <w:rFonts w:ascii="Cambria" w:hAnsi="Cambria" w:cstheme="minorHAnsi"/>
          <w:i/>
          <w:sz w:val="22"/>
          <w:szCs w:val="22"/>
        </w:rPr>
        <w:t>“Transitorio VI. A partir de esta modificación y hasta el  31 de marzo de 2021, y en respuesta a la declaratoria de emergencia nacional mediante Decreto Ejecutivo N. 42227-MP-S del 16 de marzo de 2020, debido a la situación de emergencia sanitaria provocada por la enfermedad COVID19, se admite que a criterio de cada entidad supervisada, esta tome acciones inmediatas para exceptuar en sus políticas y procedimientos crediticios, la presentación de información usualmente requerida para efectos de análisis de capacidad de pago, con el fin único de asegurar el otorgamiento expedito de prórrogas, restructuraciones o refinanciamientos, o una combinación de éstas.</w:t>
      </w:r>
    </w:p>
    <w:p w:rsidRPr="00BE2F51" w:rsidR="00990364" w:rsidP="00990364" w:rsidRDefault="00990364" w14:paraId="0D857CF8" w14:textId="77777777">
      <w:pPr>
        <w:pStyle w:val="Prrafodelista"/>
        <w:ind w:left="720"/>
        <w:jc w:val="both"/>
        <w:rPr>
          <w:rFonts w:ascii="Cambria" w:hAnsi="Cambria" w:cstheme="minorHAnsi"/>
          <w:sz w:val="22"/>
          <w:szCs w:val="22"/>
        </w:rPr>
      </w:pPr>
    </w:p>
    <w:p w:rsidR="00990364" w:rsidP="00990364" w:rsidRDefault="00990364" w14:paraId="5517ED9D" w14:textId="77777777">
      <w:pPr>
        <w:pStyle w:val="Prrafodelista"/>
        <w:ind w:left="720"/>
        <w:jc w:val="both"/>
        <w:rPr>
          <w:rFonts w:ascii="Cambria" w:hAnsi="Cambria" w:cstheme="minorHAnsi"/>
          <w:i/>
          <w:sz w:val="22"/>
          <w:szCs w:val="22"/>
        </w:rPr>
      </w:pPr>
      <w:r w:rsidRPr="00BE2F51">
        <w:rPr>
          <w:rFonts w:ascii="Cambria" w:hAnsi="Cambria" w:cstheme="minorHAnsi"/>
          <w:i/>
          <w:sz w:val="22"/>
          <w:szCs w:val="22"/>
        </w:rPr>
        <w:t xml:space="preserve">En estos casos y durante el plazo indicado, podrá mantenerse sin cambio la última calificación de capacidad de pago del deudor. </w:t>
      </w:r>
    </w:p>
    <w:p w:rsidRPr="00BE2F51" w:rsidR="00990364" w:rsidP="00990364" w:rsidRDefault="00990364" w14:paraId="120390BB" w14:textId="77777777">
      <w:pPr>
        <w:pStyle w:val="Prrafodelista"/>
        <w:ind w:left="720"/>
        <w:jc w:val="both"/>
        <w:rPr>
          <w:rFonts w:ascii="Cambria" w:hAnsi="Cambria" w:cstheme="minorHAnsi"/>
          <w:i/>
          <w:sz w:val="22"/>
          <w:szCs w:val="22"/>
        </w:rPr>
      </w:pPr>
    </w:p>
    <w:p w:rsidRPr="00BE2F51" w:rsidR="00990364" w:rsidP="00990364" w:rsidRDefault="00990364" w14:paraId="2DD4109B" w14:textId="77777777">
      <w:pPr>
        <w:pStyle w:val="Prrafodelista"/>
        <w:ind w:left="720"/>
        <w:jc w:val="both"/>
        <w:rPr>
          <w:rFonts w:ascii="Cambria" w:hAnsi="Cambria" w:cstheme="minorHAnsi"/>
          <w:sz w:val="22"/>
          <w:szCs w:val="22"/>
        </w:rPr>
      </w:pPr>
      <w:r w:rsidRPr="00BE2F51">
        <w:rPr>
          <w:rFonts w:ascii="Cambria" w:hAnsi="Cambria" w:cstheme="minorHAnsi"/>
          <w:i/>
          <w:sz w:val="22"/>
          <w:szCs w:val="22"/>
        </w:rPr>
        <w:t>La Superintendencia General establecerá en el SICVECA crediticio, el código identificador con que cada entidad supervisada deberá reportar los casos exceptuados mediante este Transitorio.”</w:t>
      </w:r>
      <w:r>
        <w:rPr>
          <w:rFonts w:ascii="Cambria" w:hAnsi="Cambria" w:cstheme="minorHAnsi"/>
          <w:i/>
          <w:sz w:val="22"/>
          <w:szCs w:val="22"/>
        </w:rPr>
        <w:t>.</w:t>
      </w:r>
    </w:p>
    <w:p w:rsidRPr="00BE2F51" w:rsidR="00990364" w:rsidP="00990364" w:rsidRDefault="00990364" w14:paraId="3B8DC667" w14:textId="77777777">
      <w:pPr>
        <w:spacing w:line="240" w:lineRule="auto"/>
        <w:ind w:left="709"/>
        <w:rPr>
          <w:rFonts w:cstheme="minorHAnsi"/>
          <w:i/>
          <w:szCs w:val="22"/>
        </w:rPr>
      </w:pPr>
    </w:p>
    <w:p w:rsidRPr="00BE2F51" w:rsidR="00990364" w:rsidP="00990364" w:rsidRDefault="00990364" w14:paraId="49012AD2" w14:textId="77777777">
      <w:pPr>
        <w:pStyle w:val="Prrafodelista"/>
        <w:widowControl w:val="0"/>
        <w:numPr>
          <w:ilvl w:val="0"/>
          <w:numId w:val="4"/>
        </w:numPr>
        <w:ind w:left="709" w:hanging="425"/>
        <w:jc w:val="both"/>
        <w:rPr>
          <w:rFonts w:ascii="Cambria" w:hAnsi="Cambria"/>
          <w:sz w:val="22"/>
          <w:szCs w:val="22"/>
        </w:rPr>
      </w:pPr>
      <w:r w:rsidRPr="00BE2F51">
        <w:rPr>
          <w:rFonts w:ascii="Cambria" w:hAnsi="Cambria"/>
          <w:sz w:val="22"/>
          <w:szCs w:val="22"/>
        </w:rPr>
        <w:t>El Consejo Nacional de Supervisión del Sistema Financiero</w:t>
      </w:r>
      <w:r>
        <w:rPr>
          <w:rFonts w:ascii="Cambria" w:hAnsi="Cambria"/>
          <w:sz w:val="22"/>
          <w:szCs w:val="22"/>
        </w:rPr>
        <w:t>,</w:t>
      </w:r>
      <w:r w:rsidRPr="00BE2F51">
        <w:rPr>
          <w:rFonts w:ascii="Cambria" w:hAnsi="Cambria"/>
          <w:sz w:val="22"/>
          <w:szCs w:val="22"/>
        </w:rPr>
        <w:t xml:space="preserve"> en el artículo 6 del acta de la sesión 1564-2020, celebrada el 16 de marzo de 2020</w:t>
      </w:r>
      <w:r>
        <w:rPr>
          <w:rFonts w:ascii="Cambria" w:hAnsi="Cambria"/>
          <w:sz w:val="22"/>
          <w:szCs w:val="22"/>
        </w:rPr>
        <w:t>,</w:t>
      </w:r>
      <w:r w:rsidRPr="00BE2F51">
        <w:rPr>
          <w:rFonts w:ascii="Cambria" w:hAnsi="Cambria"/>
          <w:sz w:val="22"/>
          <w:szCs w:val="22"/>
        </w:rPr>
        <w:t xml:space="preserve"> aprobó modificar el párrafo primero y segundo del </w:t>
      </w:r>
      <w:r>
        <w:rPr>
          <w:rFonts w:ascii="Cambria" w:hAnsi="Cambria"/>
          <w:sz w:val="22"/>
          <w:szCs w:val="22"/>
        </w:rPr>
        <w:t>t</w:t>
      </w:r>
      <w:r w:rsidRPr="00BE2F51">
        <w:rPr>
          <w:rFonts w:ascii="Cambria" w:hAnsi="Cambria"/>
          <w:sz w:val="22"/>
          <w:szCs w:val="22"/>
        </w:rPr>
        <w:t>ransitorio XV del</w:t>
      </w:r>
      <w:r w:rsidRPr="00BE2F51">
        <w:rPr>
          <w:rFonts w:ascii="Cambria" w:hAnsi="Cambria" w:eastAsiaTheme="minorHAnsi"/>
          <w:sz w:val="22"/>
          <w:szCs w:val="22"/>
        </w:rPr>
        <w:t xml:space="preserve"> </w:t>
      </w:r>
      <w:r w:rsidRPr="00BE2F51">
        <w:rPr>
          <w:rFonts w:ascii="Cambria" w:hAnsi="Cambria" w:eastAsiaTheme="minorHAnsi"/>
          <w:i/>
          <w:sz w:val="22"/>
          <w:szCs w:val="22"/>
        </w:rPr>
        <w:t>Reglamento para la Calificación de Deudores</w:t>
      </w:r>
      <w:r w:rsidRPr="00BE2F51">
        <w:rPr>
          <w:rFonts w:ascii="Cambria" w:hAnsi="Cambria" w:eastAsiaTheme="minorHAnsi"/>
          <w:sz w:val="22"/>
          <w:szCs w:val="22"/>
        </w:rPr>
        <w:t xml:space="preserve">, Acuerdo SUGEF 1-05, </w:t>
      </w:r>
      <w:r w:rsidRPr="00BE2F51">
        <w:rPr>
          <w:rFonts w:ascii="Cambria" w:hAnsi="Cambria"/>
          <w:sz w:val="22"/>
          <w:szCs w:val="22"/>
        </w:rPr>
        <w:t xml:space="preserve">de conformidad </w:t>
      </w:r>
      <w:r>
        <w:rPr>
          <w:rFonts w:ascii="Cambria" w:hAnsi="Cambria"/>
          <w:sz w:val="22"/>
          <w:szCs w:val="22"/>
        </w:rPr>
        <w:t>a</w:t>
      </w:r>
      <w:r w:rsidRPr="00BE2F51">
        <w:rPr>
          <w:rFonts w:ascii="Cambria" w:hAnsi="Cambria"/>
          <w:sz w:val="22"/>
          <w:szCs w:val="22"/>
        </w:rPr>
        <w:t xml:space="preserve">l siguiente texto: </w:t>
      </w:r>
    </w:p>
    <w:p w:rsidRPr="00BE2F51" w:rsidR="00990364" w:rsidP="00990364" w:rsidRDefault="00990364" w14:paraId="4CD4861E" w14:textId="77777777">
      <w:pPr>
        <w:pStyle w:val="Prrafodelista"/>
        <w:widowControl w:val="0"/>
        <w:ind w:left="720"/>
        <w:jc w:val="both"/>
        <w:rPr>
          <w:rFonts w:ascii="Cambria" w:hAnsi="Cambria"/>
          <w:sz w:val="22"/>
          <w:szCs w:val="22"/>
        </w:rPr>
      </w:pPr>
    </w:p>
    <w:p w:rsidR="00990364" w:rsidP="00990364" w:rsidRDefault="00990364" w14:paraId="1029FFD9" w14:textId="77777777">
      <w:pPr>
        <w:pStyle w:val="Prrafodelista"/>
        <w:widowControl w:val="0"/>
        <w:ind w:left="720"/>
        <w:jc w:val="both"/>
        <w:rPr>
          <w:rFonts w:ascii="Cambria" w:hAnsi="Cambria"/>
          <w:sz w:val="22"/>
          <w:szCs w:val="22"/>
        </w:rPr>
      </w:pPr>
      <w:r w:rsidRPr="00BE2F51">
        <w:rPr>
          <w:rFonts w:ascii="Cambria" w:hAnsi="Cambria"/>
          <w:sz w:val="22"/>
          <w:szCs w:val="22"/>
        </w:rPr>
        <w:t>“Transitorio XV</w:t>
      </w:r>
      <w:r>
        <w:rPr>
          <w:rFonts w:ascii="Cambria" w:hAnsi="Cambria"/>
          <w:sz w:val="22"/>
          <w:szCs w:val="22"/>
        </w:rPr>
        <w:t xml:space="preserve">. </w:t>
      </w:r>
      <w:r w:rsidRPr="00BE2F51">
        <w:rPr>
          <w:rFonts w:ascii="Cambria" w:hAnsi="Cambria"/>
          <w:sz w:val="22"/>
          <w:szCs w:val="22"/>
        </w:rPr>
        <w:t>Para los deudores del Grupo 1 y Grupo 2 según el Artículo 4 de este Reglamento y hasta el 30 de junio de 2021, contando a partir de la entrada en vigencia de esta reforma, y únicamente para los efectos del numeral 2, inciso i. Artículo 3 de este Reglamento, calificará como operación especial aquella que ha sido modificada más de dos veces en un periodo de 24 meses, mediante readecuación, prórroga, refinanciamiento o una combinación de estas modificaciones. Se exceptúa de este límite a los deudores del Grupo 2 que a la fecha de entrada en vigencia de esta reforma han tenido dos readecuaciones dentro de los últimos 24 meses, pudiendo readecuar su operación por una vez más durante el periodo que finaliza el 30 de junio de 2021 sin calificar como operación especial.</w:t>
      </w:r>
    </w:p>
    <w:p w:rsidRPr="00BE2F51" w:rsidR="00990364" w:rsidP="00990364" w:rsidRDefault="00990364" w14:paraId="3648DE3B" w14:textId="77777777">
      <w:pPr>
        <w:pStyle w:val="Prrafodelista"/>
        <w:widowControl w:val="0"/>
        <w:ind w:left="720"/>
        <w:jc w:val="both"/>
        <w:rPr>
          <w:rFonts w:ascii="Cambria" w:hAnsi="Cambria"/>
          <w:sz w:val="22"/>
          <w:szCs w:val="22"/>
        </w:rPr>
      </w:pPr>
    </w:p>
    <w:p w:rsidRPr="00BE2F51" w:rsidR="00990364" w:rsidP="00990364" w:rsidRDefault="00990364" w14:paraId="24825254" w14:textId="77777777">
      <w:pPr>
        <w:pStyle w:val="Prrafodelista"/>
        <w:widowControl w:val="0"/>
        <w:ind w:left="720"/>
        <w:jc w:val="both"/>
        <w:rPr>
          <w:rFonts w:ascii="Cambria" w:hAnsi="Cambria"/>
          <w:sz w:val="22"/>
          <w:szCs w:val="22"/>
        </w:rPr>
      </w:pPr>
      <w:r w:rsidRPr="00BE2F51">
        <w:rPr>
          <w:rFonts w:ascii="Cambria" w:hAnsi="Cambria"/>
          <w:sz w:val="22"/>
          <w:szCs w:val="22"/>
        </w:rPr>
        <w:t>Esta disposición transitoria aplica únicamente para los deudores que, a la fecha de entrada en vigencia de esta reforma, no tengan operaciones crediticias especiales, según lo dispuesto en el inciso i</w:t>
      </w:r>
      <w:r>
        <w:rPr>
          <w:rFonts w:ascii="Cambria" w:hAnsi="Cambria"/>
          <w:sz w:val="22"/>
          <w:szCs w:val="22"/>
        </w:rPr>
        <w:t xml:space="preserve"> del</w:t>
      </w:r>
      <w:r w:rsidRPr="00BE2F51">
        <w:rPr>
          <w:rFonts w:ascii="Cambria" w:hAnsi="Cambria"/>
          <w:sz w:val="22"/>
          <w:szCs w:val="22"/>
        </w:rPr>
        <w:t xml:space="preserve"> </w:t>
      </w:r>
      <w:r>
        <w:rPr>
          <w:rFonts w:ascii="Cambria" w:hAnsi="Cambria"/>
          <w:sz w:val="22"/>
          <w:szCs w:val="22"/>
        </w:rPr>
        <w:t>a</w:t>
      </w:r>
      <w:r w:rsidRPr="00BE2F51">
        <w:rPr>
          <w:rFonts w:ascii="Cambria" w:hAnsi="Cambria"/>
          <w:sz w:val="22"/>
          <w:szCs w:val="22"/>
        </w:rPr>
        <w:t xml:space="preserve">rtículo 3 de ese Reglamento. Los deudores que a la fecha de entrada en vigencia de esta disposición ya cuenten con al menos una operación crediticia especial, continuarán tratándose de la forma establecida en el </w:t>
      </w:r>
      <w:r>
        <w:rPr>
          <w:rFonts w:ascii="Cambria" w:hAnsi="Cambria"/>
          <w:sz w:val="22"/>
          <w:szCs w:val="22"/>
        </w:rPr>
        <w:t>a</w:t>
      </w:r>
      <w:r w:rsidRPr="00BE2F51">
        <w:rPr>
          <w:rFonts w:ascii="Cambria" w:hAnsi="Cambria"/>
          <w:sz w:val="22"/>
          <w:szCs w:val="22"/>
        </w:rPr>
        <w:t>rtículo 18 de ese Reglamento.</w:t>
      </w:r>
    </w:p>
    <w:p w:rsidR="00990364" w:rsidP="00990364" w:rsidRDefault="00990364" w14:paraId="369D32A3" w14:textId="77777777">
      <w:pPr>
        <w:autoSpaceDE w:val="0"/>
        <w:autoSpaceDN w:val="0"/>
        <w:adjustRightInd w:val="0"/>
        <w:spacing w:line="240" w:lineRule="auto"/>
        <w:contextualSpacing/>
        <w:rPr>
          <w:szCs w:val="22"/>
        </w:rPr>
      </w:pPr>
    </w:p>
    <w:p w:rsidRPr="00BE2F51" w:rsidR="00BA0038" w:rsidP="00990364" w:rsidRDefault="00BA0038" w14:paraId="2416EA13" w14:textId="77777777">
      <w:pPr>
        <w:autoSpaceDE w:val="0"/>
        <w:autoSpaceDN w:val="0"/>
        <w:adjustRightInd w:val="0"/>
        <w:spacing w:line="240" w:lineRule="auto"/>
        <w:contextualSpacing/>
        <w:rPr>
          <w:szCs w:val="22"/>
        </w:rPr>
      </w:pPr>
    </w:p>
    <w:p w:rsidRPr="00C643DA" w:rsidR="00990364" w:rsidP="00990364" w:rsidRDefault="00990364" w14:paraId="47AC740D" w14:textId="77777777">
      <w:pPr>
        <w:pStyle w:val="Prrafodelista"/>
        <w:numPr>
          <w:ilvl w:val="0"/>
          <w:numId w:val="4"/>
        </w:numPr>
        <w:autoSpaceDE w:val="0"/>
        <w:autoSpaceDN w:val="0"/>
        <w:adjustRightInd w:val="0"/>
        <w:ind w:left="709" w:hanging="425"/>
        <w:contextualSpacing/>
        <w:jc w:val="both"/>
        <w:rPr>
          <w:rFonts w:ascii="Cambria" w:hAnsi="Cambria"/>
          <w:sz w:val="22"/>
          <w:szCs w:val="22"/>
        </w:rPr>
      </w:pPr>
      <w:r w:rsidRPr="00C643DA">
        <w:rPr>
          <w:rFonts w:ascii="Cambria" w:hAnsi="Cambria"/>
          <w:sz w:val="22"/>
          <w:szCs w:val="22"/>
        </w:rPr>
        <w:t xml:space="preserve">Mediante la </w:t>
      </w:r>
      <w:r w:rsidRPr="00C643DA">
        <w:rPr>
          <w:rFonts w:ascii="Cambria" w:hAnsi="Cambria"/>
          <w:bCs/>
          <w:sz w:val="22"/>
          <w:szCs w:val="22"/>
        </w:rPr>
        <w:t>Ley 9859</w:t>
      </w:r>
      <w:r w:rsidRPr="00C643DA">
        <w:rPr>
          <w:rFonts w:ascii="Cambria" w:hAnsi="Cambria"/>
          <w:sz w:val="22"/>
          <w:szCs w:val="22"/>
        </w:rPr>
        <w:t>, se aprobó la Ley conocida como “</w:t>
      </w:r>
      <w:r w:rsidRPr="00C643DA">
        <w:rPr>
          <w:rFonts w:ascii="Cambria" w:hAnsi="Cambria"/>
          <w:bCs/>
          <w:i/>
          <w:iCs/>
          <w:sz w:val="22"/>
          <w:szCs w:val="22"/>
        </w:rPr>
        <w:t>Ley de Usura”</w:t>
      </w:r>
      <w:r w:rsidRPr="00C643DA">
        <w:rPr>
          <w:rFonts w:ascii="Cambria" w:hAnsi="Cambria"/>
          <w:sz w:val="22"/>
          <w:szCs w:val="22"/>
        </w:rPr>
        <w:t>, la cual agregó varios artículos a la Ley 7472 “</w:t>
      </w:r>
      <w:r w:rsidRPr="00C643DA">
        <w:rPr>
          <w:rFonts w:ascii="Cambria" w:hAnsi="Cambria"/>
          <w:bCs/>
          <w:i/>
          <w:iCs/>
          <w:sz w:val="22"/>
          <w:szCs w:val="22"/>
        </w:rPr>
        <w:t>Ley de Promoción de la Competencia y Defensa Efectiva del Consumidor</w:t>
      </w:r>
      <w:r w:rsidRPr="00C643DA">
        <w:rPr>
          <w:rFonts w:ascii="Cambria" w:hAnsi="Cambria"/>
          <w:sz w:val="22"/>
          <w:szCs w:val="22"/>
        </w:rPr>
        <w:t>”.  El artículo 36 bis establece los límites de tasa de interés, los que deberán cumplir  las personas físicas y jurídicas que otorguen financiamiento a un tercero.</w:t>
      </w:r>
    </w:p>
    <w:p w:rsidRPr="00BE2F51" w:rsidR="00990364" w:rsidP="00990364" w:rsidRDefault="00990364" w14:paraId="3DECF296" w14:textId="77777777">
      <w:pPr>
        <w:pStyle w:val="Prrafodelista"/>
        <w:autoSpaceDE w:val="0"/>
        <w:autoSpaceDN w:val="0"/>
        <w:adjustRightInd w:val="0"/>
        <w:ind w:left="709"/>
        <w:contextualSpacing/>
        <w:jc w:val="both"/>
        <w:rPr>
          <w:rFonts w:ascii="Cambria" w:hAnsi="Cambria"/>
          <w:sz w:val="22"/>
          <w:szCs w:val="22"/>
        </w:rPr>
      </w:pPr>
    </w:p>
    <w:p w:rsidR="00990364" w:rsidP="00990364" w:rsidRDefault="00990364" w14:paraId="4623327E" w14:textId="77777777">
      <w:pPr>
        <w:pStyle w:val="Prrafodelista"/>
        <w:ind w:left="720"/>
        <w:jc w:val="both"/>
        <w:rPr>
          <w:rFonts w:ascii="Cambria" w:hAnsi="Cambria"/>
          <w:sz w:val="22"/>
          <w:szCs w:val="22"/>
        </w:rPr>
      </w:pPr>
      <w:r>
        <w:rPr>
          <w:rFonts w:ascii="Cambria" w:hAnsi="Cambria"/>
          <w:sz w:val="22"/>
          <w:szCs w:val="22"/>
        </w:rPr>
        <w:t>E</w:t>
      </w:r>
      <w:r w:rsidRPr="00BE2F51">
        <w:rPr>
          <w:rFonts w:ascii="Cambria" w:hAnsi="Cambria"/>
          <w:sz w:val="22"/>
          <w:szCs w:val="22"/>
        </w:rPr>
        <w:t>l Banco Central de Costa Rica, el 3 de julio</w:t>
      </w:r>
      <w:r>
        <w:rPr>
          <w:rFonts w:ascii="Cambria" w:hAnsi="Cambria"/>
          <w:sz w:val="22"/>
          <w:szCs w:val="22"/>
        </w:rPr>
        <w:t xml:space="preserve"> de</w:t>
      </w:r>
      <w:r w:rsidRPr="00BE2F51">
        <w:rPr>
          <w:rFonts w:ascii="Cambria" w:hAnsi="Cambria"/>
          <w:sz w:val="22"/>
          <w:szCs w:val="22"/>
        </w:rPr>
        <w:t xml:space="preserve"> 2020</w:t>
      </w:r>
      <w:r>
        <w:rPr>
          <w:rFonts w:ascii="Cambria" w:hAnsi="Cambria"/>
          <w:sz w:val="22"/>
          <w:szCs w:val="22"/>
        </w:rPr>
        <w:t>,</w:t>
      </w:r>
      <w:r w:rsidRPr="00BE2F51">
        <w:rPr>
          <w:rFonts w:ascii="Cambria" w:hAnsi="Cambria"/>
          <w:sz w:val="22"/>
          <w:szCs w:val="22"/>
        </w:rPr>
        <w:t> </w:t>
      </w:r>
      <w:r>
        <w:rPr>
          <w:rFonts w:ascii="Cambria" w:hAnsi="Cambria"/>
          <w:sz w:val="22"/>
          <w:szCs w:val="22"/>
        </w:rPr>
        <w:t>publicó</w:t>
      </w:r>
      <w:r w:rsidRPr="00BE2F51">
        <w:rPr>
          <w:rFonts w:ascii="Cambria" w:hAnsi="Cambria"/>
          <w:sz w:val="22"/>
          <w:szCs w:val="22"/>
        </w:rPr>
        <w:t xml:space="preserve"> las tasas </w:t>
      </w:r>
      <w:r>
        <w:rPr>
          <w:rFonts w:ascii="Cambria" w:hAnsi="Cambria"/>
          <w:sz w:val="22"/>
          <w:szCs w:val="22"/>
        </w:rPr>
        <w:t xml:space="preserve">de interés </w:t>
      </w:r>
      <w:r w:rsidRPr="00BE2F51">
        <w:rPr>
          <w:rFonts w:ascii="Cambria" w:hAnsi="Cambria"/>
          <w:sz w:val="22"/>
          <w:szCs w:val="22"/>
        </w:rPr>
        <w:t>anuales máximas para créditos y microcréditos</w:t>
      </w:r>
      <w:r>
        <w:rPr>
          <w:rFonts w:ascii="Cambria" w:hAnsi="Cambria"/>
          <w:sz w:val="22"/>
          <w:szCs w:val="22"/>
        </w:rPr>
        <w:t xml:space="preserve">, y </w:t>
      </w:r>
      <w:r w:rsidRPr="00BE2F51">
        <w:rPr>
          <w:rFonts w:ascii="Cambria" w:hAnsi="Cambria"/>
          <w:sz w:val="22"/>
          <w:szCs w:val="22"/>
        </w:rPr>
        <w:t xml:space="preserve"> en atención a ello, </w:t>
      </w:r>
      <w:r>
        <w:rPr>
          <w:rFonts w:ascii="Cambria" w:hAnsi="Cambria"/>
          <w:sz w:val="22"/>
          <w:szCs w:val="22"/>
        </w:rPr>
        <w:t>las</w:t>
      </w:r>
      <w:r w:rsidRPr="00BE2F51">
        <w:rPr>
          <w:rFonts w:ascii="Cambria" w:hAnsi="Cambria"/>
          <w:sz w:val="22"/>
          <w:szCs w:val="22"/>
        </w:rPr>
        <w:t xml:space="preserve"> entidades financieras supervisadas tomaron acciones para adecuarse a </w:t>
      </w:r>
      <w:r>
        <w:rPr>
          <w:rFonts w:ascii="Cambria" w:hAnsi="Cambria"/>
          <w:sz w:val="22"/>
          <w:szCs w:val="22"/>
        </w:rPr>
        <w:t>dichas tasas de interés</w:t>
      </w:r>
      <w:r w:rsidRPr="00BE2F51">
        <w:rPr>
          <w:rFonts w:ascii="Cambria" w:hAnsi="Cambria"/>
          <w:sz w:val="22"/>
          <w:szCs w:val="22"/>
        </w:rPr>
        <w:t xml:space="preserve">, </w:t>
      </w:r>
      <w:r>
        <w:rPr>
          <w:rFonts w:ascii="Cambria" w:hAnsi="Cambria"/>
          <w:sz w:val="22"/>
          <w:szCs w:val="22"/>
        </w:rPr>
        <w:t>así también algunas entidades  informaron al</w:t>
      </w:r>
      <w:r w:rsidRPr="00BE2F51">
        <w:rPr>
          <w:rFonts w:ascii="Cambria" w:hAnsi="Cambria"/>
          <w:sz w:val="22"/>
          <w:szCs w:val="22"/>
        </w:rPr>
        <w:t xml:space="preserve"> público, la sustitución de tarjetas de crédito</w:t>
      </w:r>
      <w:r>
        <w:rPr>
          <w:rFonts w:ascii="Cambria" w:hAnsi="Cambria"/>
          <w:sz w:val="22"/>
          <w:szCs w:val="22"/>
        </w:rPr>
        <w:t xml:space="preserve"> por créditos directos en los casos en que </w:t>
      </w:r>
      <w:r w:rsidRPr="00BE2F51">
        <w:rPr>
          <w:rFonts w:ascii="Cambria" w:hAnsi="Cambria"/>
          <w:sz w:val="22"/>
          <w:szCs w:val="22"/>
        </w:rPr>
        <w:t xml:space="preserve"> las tasas de interés máximas fijadas no cumplen con los parámetros de rentabilidad definidos por </w:t>
      </w:r>
      <w:r>
        <w:rPr>
          <w:rFonts w:ascii="Cambria" w:hAnsi="Cambria"/>
          <w:sz w:val="22"/>
          <w:szCs w:val="22"/>
        </w:rPr>
        <w:t>éstas</w:t>
      </w:r>
      <w:r w:rsidRPr="00BE2F51">
        <w:rPr>
          <w:rFonts w:ascii="Cambria" w:hAnsi="Cambria"/>
          <w:sz w:val="22"/>
          <w:szCs w:val="22"/>
        </w:rPr>
        <w:t>.</w:t>
      </w:r>
    </w:p>
    <w:p w:rsidRPr="00BE2F51" w:rsidR="00990364" w:rsidP="00990364" w:rsidRDefault="00990364" w14:paraId="4F54E8FC" w14:textId="77777777">
      <w:pPr>
        <w:pStyle w:val="Prrafodelista"/>
        <w:ind w:left="720"/>
        <w:jc w:val="both"/>
        <w:rPr>
          <w:rFonts w:ascii="Cambria" w:hAnsi="Cambria"/>
          <w:sz w:val="22"/>
          <w:szCs w:val="22"/>
        </w:rPr>
      </w:pPr>
    </w:p>
    <w:p w:rsidRPr="00BE2F51" w:rsidR="00990364" w:rsidP="00990364" w:rsidRDefault="00990364" w14:paraId="077AE3E4" w14:textId="77777777">
      <w:pPr>
        <w:pStyle w:val="Prrafodelista"/>
        <w:ind w:left="720"/>
        <w:jc w:val="both"/>
        <w:rPr>
          <w:rFonts w:ascii="Cambria" w:hAnsi="Cambria"/>
          <w:sz w:val="22"/>
          <w:szCs w:val="22"/>
        </w:rPr>
      </w:pPr>
      <w:r>
        <w:rPr>
          <w:rFonts w:ascii="Cambria" w:hAnsi="Cambria"/>
          <w:sz w:val="22"/>
          <w:szCs w:val="22"/>
        </w:rPr>
        <w:t xml:space="preserve">Dado lo anterior, </w:t>
      </w:r>
      <w:r w:rsidRPr="00BE2F51">
        <w:rPr>
          <w:rFonts w:ascii="Cambria" w:hAnsi="Cambria"/>
          <w:sz w:val="22"/>
          <w:szCs w:val="22"/>
        </w:rPr>
        <w:t xml:space="preserve"> se hace necesario, para aspectos prudenciales de supervisión, tener identificadas las operaciones que se refinanciaron o readecuaron a causa de los límites a la tasa de interés dictada en la referida Ley.</w:t>
      </w:r>
    </w:p>
    <w:p w:rsidRPr="00BE2F51" w:rsidR="00990364" w:rsidP="00990364" w:rsidRDefault="00990364" w14:paraId="10855B3A" w14:textId="77777777">
      <w:pPr>
        <w:pStyle w:val="Prrafodelista"/>
        <w:ind w:left="360"/>
        <w:jc w:val="both"/>
        <w:rPr>
          <w:rFonts w:ascii="Cambria" w:hAnsi="Cambria"/>
          <w:b/>
          <w:sz w:val="22"/>
          <w:szCs w:val="22"/>
        </w:rPr>
      </w:pPr>
    </w:p>
    <w:p w:rsidRPr="00BE2F51" w:rsidR="00990364" w:rsidP="00990364" w:rsidRDefault="00990364" w14:paraId="670978CA" w14:textId="77777777">
      <w:pPr>
        <w:spacing w:line="240" w:lineRule="auto"/>
        <w:contextualSpacing/>
        <w:rPr>
          <w:b/>
          <w:szCs w:val="22"/>
        </w:rPr>
      </w:pPr>
      <w:r w:rsidRPr="00BE2F51">
        <w:rPr>
          <w:b/>
          <w:szCs w:val="22"/>
        </w:rPr>
        <w:t>Dispone:</w:t>
      </w:r>
    </w:p>
    <w:p w:rsidRPr="00BE2F51" w:rsidR="00990364" w:rsidP="00990364" w:rsidRDefault="00990364" w14:paraId="716BCA7A" w14:textId="77777777">
      <w:pPr>
        <w:spacing w:line="240" w:lineRule="auto"/>
        <w:contextualSpacing/>
        <w:rPr>
          <w:b/>
          <w:szCs w:val="22"/>
        </w:rPr>
      </w:pPr>
    </w:p>
    <w:p w:rsidR="00990364" w:rsidP="00990364" w:rsidRDefault="00990364" w14:paraId="4F439624" w14:textId="77777777">
      <w:pPr>
        <w:pStyle w:val="Prrafodelista"/>
        <w:numPr>
          <w:ilvl w:val="0"/>
          <w:numId w:val="5"/>
        </w:numPr>
        <w:ind w:left="709" w:hanging="425"/>
        <w:jc w:val="both"/>
        <w:rPr>
          <w:rFonts w:ascii="Cambria" w:hAnsi="Cambria"/>
          <w:sz w:val="22"/>
          <w:szCs w:val="22"/>
          <w:lang w:val="es-MX"/>
        </w:rPr>
      </w:pPr>
      <w:r w:rsidRPr="00BE2F51">
        <w:rPr>
          <w:rFonts w:ascii="Cambria" w:hAnsi="Cambria"/>
          <w:sz w:val="22"/>
          <w:szCs w:val="22"/>
          <w:lang w:val="es-MX"/>
        </w:rPr>
        <w:t xml:space="preserve">Incorporar nuevos códigos a la Tabla </w:t>
      </w:r>
      <w:r w:rsidRPr="00DA7BB3">
        <w:rPr>
          <w:rFonts w:ascii="Cambria" w:hAnsi="Cambria"/>
          <w:i/>
          <w:sz w:val="22"/>
          <w:szCs w:val="22"/>
          <w:lang w:val="es-MX"/>
        </w:rPr>
        <w:t>“Tipo_Modificacion”</w:t>
      </w:r>
      <w:r w:rsidRPr="00BE2F51">
        <w:rPr>
          <w:rFonts w:ascii="Cambria" w:hAnsi="Cambria"/>
          <w:sz w:val="22"/>
          <w:szCs w:val="22"/>
          <w:lang w:val="es-MX"/>
        </w:rPr>
        <w:t>, del documento Sistema de Captura, Verificación y Carga de Datos</w:t>
      </w:r>
      <w:r>
        <w:rPr>
          <w:rFonts w:ascii="Cambria" w:hAnsi="Cambria"/>
          <w:sz w:val="22"/>
          <w:szCs w:val="22"/>
          <w:lang w:val="es-MX"/>
        </w:rPr>
        <w:t>,</w:t>
      </w:r>
      <w:r w:rsidRPr="00BE2F51">
        <w:rPr>
          <w:rFonts w:ascii="Cambria" w:hAnsi="Cambria"/>
          <w:sz w:val="22"/>
          <w:szCs w:val="22"/>
          <w:lang w:val="es-MX"/>
        </w:rPr>
        <w:t xml:space="preserve"> con el fin de identificar aquellas operaciones</w:t>
      </w:r>
      <w:r>
        <w:rPr>
          <w:rFonts w:ascii="Cambria" w:hAnsi="Cambria"/>
          <w:sz w:val="22"/>
          <w:szCs w:val="22"/>
          <w:lang w:val="es-MX"/>
        </w:rPr>
        <w:t xml:space="preserve"> de crédito</w:t>
      </w:r>
      <w:r w:rsidRPr="00BE2F51">
        <w:rPr>
          <w:rFonts w:ascii="Cambria" w:hAnsi="Cambria"/>
          <w:sz w:val="22"/>
          <w:szCs w:val="22"/>
          <w:lang w:val="es-MX"/>
        </w:rPr>
        <w:t xml:space="preserve"> que a partir del mes de marzo</w:t>
      </w:r>
      <w:r>
        <w:rPr>
          <w:rFonts w:ascii="Cambria" w:hAnsi="Cambria"/>
          <w:sz w:val="22"/>
          <w:szCs w:val="22"/>
          <w:lang w:val="es-MX"/>
        </w:rPr>
        <w:t xml:space="preserve"> del</w:t>
      </w:r>
      <w:r w:rsidRPr="00BE2F51">
        <w:rPr>
          <w:rFonts w:ascii="Cambria" w:hAnsi="Cambria"/>
          <w:sz w:val="22"/>
          <w:szCs w:val="22"/>
          <w:lang w:val="es-MX"/>
        </w:rPr>
        <w:t xml:space="preserve"> 2020</w:t>
      </w:r>
      <w:r>
        <w:rPr>
          <w:rFonts w:ascii="Cambria" w:hAnsi="Cambria"/>
          <w:sz w:val="22"/>
          <w:szCs w:val="22"/>
          <w:lang w:val="es-MX"/>
        </w:rPr>
        <w:t>,</w:t>
      </w:r>
      <w:r w:rsidRPr="00BE2F51">
        <w:rPr>
          <w:rFonts w:ascii="Cambria" w:hAnsi="Cambria"/>
          <w:sz w:val="22"/>
          <w:szCs w:val="22"/>
          <w:lang w:val="es-MX"/>
        </w:rPr>
        <w:t xml:space="preserve"> han sido sujetas a alguna modificación a raíz de la </w:t>
      </w:r>
      <w:r>
        <w:rPr>
          <w:rFonts w:ascii="Cambria" w:hAnsi="Cambria"/>
          <w:sz w:val="22"/>
          <w:szCs w:val="22"/>
          <w:lang w:val="es-MX"/>
        </w:rPr>
        <w:t>e</w:t>
      </w:r>
      <w:r w:rsidRPr="00BE2F51">
        <w:rPr>
          <w:rFonts w:ascii="Cambria" w:hAnsi="Cambria"/>
          <w:sz w:val="22"/>
          <w:szCs w:val="22"/>
          <w:lang w:val="es-MX"/>
        </w:rPr>
        <w:t xml:space="preserve">mergencia </w:t>
      </w:r>
      <w:r>
        <w:rPr>
          <w:rFonts w:ascii="Cambria" w:hAnsi="Cambria"/>
          <w:sz w:val="22"/>
          <w:szCs w:val="22"/>
          <w:lang w:val="es-MX"/>
        </w:rPr>
        <w:t>n</w:t>
      </w:r>
      <w:r w:rsidRPr="00BE2F51">
        <w:rPr>
          <w:rFonts w:ascii="Cambria" w:hAnsi="Cambria"/>
          <w:sz w:val="22"/>
          <w:szCs w:val="22"/>
          <w:lang w:val="es-MX"/>
        </w:rPr>
        <w:t>acional Covid-19</w:t>
      </w:r>
      <w:r>
        <w:rPr>
          <w:rFonts w:ascii="Cambria" w:hAnsi="Cambria"/>
          <w:sz w:val="22"/>
          <w:szCs w:val="22"/>
          <w:lang w:val="es-MX"/>
        </w:rPr>
        <w:t>,</w:t>
      </w:r>
      <w:r w:rsidRPr="00BE2F51">
        <w:rPr>
          <w:rFonts w:ascii="Cambria" w:hAnsi="Cambria"/>
          <w:sz w:val="22"/>
          <w:szCs w:val="22"/>
          <w:lang w:val="es-MX"/>
        </w:rPr>
        <w:t xml:space="preserve"> y los códigos que</w:t>
      </w:r>
      <w:r>
        <w:rPr>
          <w:rFonts w:ascii="Cambria" w:hAnsi="Cambria"/>
          <w:sz w:val="22"/>
          <w:szCs w:val="22"/>
          <w:lang w:val="es-MX"/>
        </w:rPr>
        <w:t>,</w:t>
      </w:r>
      <w:r w:rsidRPr="00BE2F51">
        <w:rPr>
          <w:rFonts w:ascii="Cambria" w:hAnsi="Cambria"/>
          <w:sz w:val="22"/>
          <w:szCs w:val="22"/>
          <w:lang w:val="es-MX"/>
        </w:rPr>
        <w:t xml:space="preserve"> a partir del mes de julio</w:t>
      </w:r>
      <w:r>
        <w:rPr>
          <w:rFonts w:ascii="Cambria" w:hAnsi="Cambria"/>
          <w:sz w:val="22"/>
          <w:szCs w:val="22"/>
          <w:lang w:val="es-MX"/>
        </w:rPr>
        <w:t xml:space="preserve"> del</w:t>
      </w:r>
      <w:r w:rsidRPr="00BE2F51">
        <w:rPr>
          <w:rFonts w:ascii="Cambria" w:hAnsi="Cambria"/>
          <w:sz w:val="22"/>
          <w:szCs w:val="22"/>
          <w:lang w:val="es-MX"/>
        </w:rPr>
        <w:t xml:space="preserve"> 2020</w:t>
      </w:r>
      <w:r>
        <w:rPr>
          <w:rFonts w:ascii="Cambria" w:hAnsi="Cambria"/>
          <w:sz w:val="22"/>
          <w:szCs w:val="22"/>
          <w:lang w:val="es-MX"/>
        </w:rPr>
        <w:t>,</w:t>
      </w:r>
      <w:r w:rsidRPr="00BE2F51">
        <w:rPr>
          <w:rFonts w:ascii="Cambria" w:hAnsi="Cambria"/>
          <w:sz w:val="22"/>
          <w:szCs w:val="22"/>
          <w:lang w:val="es-MX"/>
        </w:rPr>
        <w:t xml:space="preserve"> deben ser utilizados para las operaciones readecuadas o refinanciadas a raíz de la entrada en vigencia de la Ley 9859 “</w:t>
      </w:r>
      <w:r w:rsidRPr="00BE2F51">
        <w:rPr>
          <w:rFonts w:ascii="Cambria" w:hAnsi="Cambria"/>
          <w:b/>
          <w:i/>
          <w:sz w:val="22"/>
          <w:szCs w:val="22"/>
          <w:lang w:val="es-MX"/>
        </w:rPr>
        <w:t>ADICIÓN DE LOS ARTÍCULOS 36 BIS, 36 TER, 36 QUATER, 44 TER Y DE LOS INCISOS G) Y H) AL ARTÍCULO 53, Y REFORMA DE LOS ARTÍCULOS 44 BIS Y 63 DE LA LEY 7472, PROMOCIÓN DE LA COMPETENCIA Y DEFENSA EFECTIVA DEL CONSUMIDOR, DE 20 DE DICIEMBRE DE 1994</w:t>
      </w:r>
      <w:r w:rsidRPr="00BE2F51">
        <w:rPr>
          <w:rFonts w:ascii="Cambria" w:hAnsi="Cambria"/>
          <w:sz w:val="22"/>
          <w:szCs w:val="22"/>
          <w:lang w:val="es-MX"/>
        </w:rPr>
        <w:t>”.</w:t>
      </w:r>
    </w:p>
    <w:p w:rsidRPr="00BE2F51" w:rsidR="00BA0038" w:rsidP="00BA0038" w:rsidRDefault="00BA0038" w14:paraId="5DAFDFEE" w14:textId="77777777">
      <w:pPr>
        <w:pStyle w:val="Prrafodelista"/>
        <w:ind w:left="709"/>
        <w:jc w:val="both"/>
        <w:rPr>
          <w:rFonts w:ascii="Cambria" w:hAnsi="Cambria"/>
          <w:sz w:val="22"/>
          <w:szCs w:val="22"/>
          <w:lang w:val="es-MX"/>
        </w:rPr>
      </w:pPr>
    </w:p>
    <w:p w:rsidRPr="00BE2F51" w:rsidR="00990364" w:rsidP="00990364" w:rsidRDefault="00990364" w14:paraId="6EE3CB9A" w14:textId="77777777">
      <w:pPr>
        <w:spacing w:line="240" w:lineRule="auto"/>
        <w:rPr>
          <w:szCs w:val="22"/>
          <w:lang w:val="es-MX"/>
        </w:rPr>
      </w:pPr>
    </w:p>
    <w:tbl>
      <w:tblPr>
        <w:tblStyle w:val="Cuadrculadetablaclara"/>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21"/>
        <w:gridCol w:w="6062"/>
      </w:tblGrid>
      <w:tr w:rsidRPr="00BE2F51" w:rsidR="00990364" w:rsidTr="00BA0038" w14:paraId="2C5BABAD" w14:textId="77777777">
        <w:trPr>
          <w:jc w:val="center"/>
        </w:trPr>
        <w:tc>
          <w:tcPr>
            <w:tcW w:w="1021" w:type="dxa"/>
          </w:tcPr>
          <w:p w:rsidRPr="00BE2F51" w:rsidR="00990364" w:rsidP="00552092" w:rsidRDefault="00990364" w14:paraId="3406BBB2" w14:textId="77777777">
            <w:pPr>
              <w:overflowPunct w:val="0"/>
              <w:autoSpaceDE w:val="0"/>
              <w:autoSpaceDN w:val="0"/>
              <w:adjustRightInd w:val="0"/>
              <w:spacing w:line="240" w:lineRule="auto"/>
              <w:jc w:val="center"/>
              <w:rPr>
                <w:b/>
                <w:bCs/>
                <w:iCs/>
                <w:szCs w:val="22"/>
                <w:lang w:val="es-ES_tradnl"/>
              </w:rPr>
            </w:pPr>
            <w:r w:rsidRPr="00BE2F51">
              <w:rPr>
                <w:b/>
                <w:iCs/>
                <w:szCs w:val="22"/>
                <w:lang w:val="es-ES_tradnl"/>
              </w:rPr>
              <w:t>Código</w:t>
            </w:r>
          </w:p>
        </w:tc>
        <w:tc>
          <w:tcPr>
            <w:tcW w:w="6062" w:type="dxa"/>
          </w:tcPr>
          <w:p w:rsidRPr="00BE2F51" w:rsidR="00990364" w:rsidP="00552092" w:rsidRDefault="00990364" w14:paraId="015B731C" w14:textId="77777777">
            <w:pPr>
              <w:overflowPunct w:val="0"/>
              <w:autoSpaceDE w:val="0"/>
              <w:autoSpaceDN w:val="0"/>
              <w:adjustRightInd w:val="0"/>
              <w:spacing w:line="240" w:lineRule="auto"/>
              <w:jc w:val="center"/>
              <w:rPr>
                <w:b/>
                <w:bCs/>
                <w:iCs/>
                <w:szCs w:val="22"/>
                <w:lang w:val="es-ES_tradnl"/>
              </w:rPr>
            </w:pPr>
            <w:r w:rsidRPr="00BE2F51">
              <w:rPr>
                <w:b/>
                <w:iCs/>
                <w:szCs w:val="22"/>
              </w:rPr>
              <w:t xml:space="preserve">Tipo_Modificación </w:t>
            </w:r>
          </w:p>
        </w:tc>
      </w:tr>
      <w:tr w:rsidRPr="00BE2F51" w:rsidR="00990364" w:rsidTr="00BA0038" w14:paraId="3E847451" w14:textId="77777777">
        <w:trPr>
          <w:jc w:val="center"/>
        </w:trPr>
        <w:tc>
          <w:tcPr>
            <w:tcW w:w="1021" w:type="dxa"/>
          </w:tcPr>
          <w:p w:rsidRPr="00BE2F51" w:rsidR="00990364" w:rsidP="00552092" w:rsidRDefault="00990364" w14:paraId="53D5CFA8" w14:textId="77777777">
            <w:pPr>
              <w:overflowPunct w:val="0"/>
              <w:autoSpaceDE w:val="0"/>
              <w:autoSpaceDN w:val="0"/>
              <w:adjustRightInd w:val="0"/>
              <w:spacing w:line="240" w:lineRule="auto"/>
              <w:jc w:val="center"/>
              <w:rPr>
                <w:b/>
                <w:bCs/>
                <w:i/>
                <w:iCs/>
                <w:szCs w:val="22"/>
                <w:lang w:val="es-ES_tradnl"/>
              </w:rPr>
            </w:pPr>
            <w:r w:rsidRPr="00BE2F51">
              <w:rPr>
                <w:b/>
                <w:bCs/>
                <w:i/>
                <w:iCs/>
                <w:szCs w:val="22"/>
              </w:rPr>
              <w:t>15</w:t>
            </w:r>
          </w:p>
        </w:tc>
        <w:tc>
          <w:tcPr>
            <w:tcW w:w="6062" w:type="dxa"/>
          </w:tcPr>
          <w:p w:rsidRPr="00BE2F51" w:rsidR="00990364" w:rsidP="00552092" w:rsidRDefault="00990364" w14:paraId="4C8C5422" w14:textId="77777777">
            <w:pPr>
              <w:overflowPunct w:val="0"/>
              <w:autoSpaceDE w:val="0"/>
              <w:autoSpaceDN w:val="0"/>
              <w:adjustRightInd w:val="0"/>
              <w:spacing w:line="240" w:lineRule="auto"/>
              <w:rPr>
                <w:szCs w:val="22"/>
                <w:lang w:val="es-ES_tradnl"/>
              </w:rPr>
            </w:pPr>
            <w:r w:rsidRPr="00BE2F51">
              <w:rPr>
                <w:i/>
                <w:iCs/>
                <w:szCs w:val="22"/>
              </w:rPr>
              <w:t>Prórroga por Emergencia Nacional COVID19</w:t>
            </w:r>
          </w:p>
        </w:tc>
      </w:tr>
      <w:tr w:rsidRPr="00BE2F51" w:rsidR="00990364" w:rsidTr="00BA0038" w14:paraId="6F08FD7C" w14:textId="77777777">
        <w:trPr>
          <w:jc w:val="center"/>
        </w:trPr>
        <w:tc>
          <w:tcPr>
            <w:tcW w:w="1021" w:type="dxa"/>
          </w:tcPr>
          <w:p w:rsidRPr="00BE2F51" w:rsidR="00990364" w:rsidP="00552092" w:rsidRDefault="00990364" w14:paraId="7A6F2AB4" w14:textId="77777777">
            <w:pPr>
              <w:overflowPunct w:val="0"/>
              <w:autoSpaceDE w:val="0"/>
              <w:autoSpaceDN w:val="0"/>
              <w:adjustRightInd w:val="0"/>
              <w:spacing w:line="240" w:lineRule="auto"/>
              <w:jc w:val="center"/>
              <w:rPr>
                <w:b/>
                <w:bCs/>
                <w:i/>
                <w:iCs/>
                <w:szCs w:val="22"/>
                <w:lang w:val="es-ES_tradnl"/>
              </w:rPr>
            </w:pPr>
            <w:r w:rsidRPr="00BE2F51">
              <w:rPr>
                <w:b/>
                <w:bCs/>
                <w:i/>
                <w:iCs/>
                <w:szCs w:val="22"/>
              </w:rPr>
              <w:t>16</w:t>
            </w:r>
          </w:p>
        </w:tc>
        <w:tc>
          <w:tcPr>
            <w:tcW w:w="6062" w:type="dxa"/>
          </w:tcPr>
          <w:p w:rsidRPr="00BE2F51" w:rsidR="00990364" w:rsidP="00552092" w:rsidRDefault="00990364" w14:paraId="15C62F15" w14:textId="77777777">
            <w:pPr>
              <w:overflowPunct w:val="0"/>
              <w:autoSpaceDE w:val="0"/>
              <w:autoSpaceDN w:val="0"/>
              <w:adjustRightInd w:val="0"/>
              <w:spacing w:line="240" w:lineRule="auto"/>
              <w:rPr>
                <w:szCs w:val="22"/>
                <w:lang w:val="es-ES_tradnl"/>
              </w:rPr>
            </w:pPr>
            <w:r w:rsidRPr="00BE2F51">
              <w:rPr>
                <w:i/>
                <w:iCs/>
                <w:szCs w:val="22"/>
              </w:rPr>
              <w:t>Readecuación por Emergencia Nacional COVID19</w:t>
            </w:r>
          </w:p>
        </w:tc>
      </w:tr>
      <w:tr w:rsidRPr="00BE2F51" w:rsidR="00990364" w:rsidTr="00BA0038" w14:paraId="553E5EE9" w14:textId="77777777">
        <w:trPr>
          <w:jc w:val="center"/>
        </w:trPr>
        <w:tc>
          <w:tcPr>
            <w:tcW w:w="1021" w:type="dxa"/>
          </w:tcPr>
          <w:p w:rsidRPr="00BE2F51" w:rsidR="00990364" w:rsidP="00552092" w:rsidRDefault="00990364" w14:paraId="46F17B7A" w14:textId="77777777">
            <w:pPr>
              <w:overflowPunct w:val="0"/>
              <w:autoSpaceDE w:val="0"/>
              <w:autoSpaceDN w:val="0"/>
              <w:adjustRightInd w:val="0"/>
              <w:spacing w:line="240" w:lineRule="auto"/>
              <w:jc w:val="center"/>
              <w:rPr>
                <w:b/>
                <w:bCs/>
                <w:i/>
                <w:iCs/>
                <w:szCs w:val="22"/>
                <w:lang w:val="es-ES_tradnl"/>
              </w:rPr>
            </w:pPr>
            <w:r w:rsidRPr="00BE2F51">
              <w:rPr>
                <w:b/>
                <w:bCs/>
                <w:i/>
                <w:iCs/>
                <w:szCs w:val="22"/>
              </w:rPr>
              <w:t>17</w:t>
            </w:r>
          </w:p>
        </w:tc>
        <w:tc>
          <w:tcPr>
            <w:tcW w:w="6062" w:type="dxa"/>
          </w:tcPr>
          <w:p w:rsidRPr="00BE2F51" w:rsidR="00990364" w:rsidP="00552092" w:rsidRDefault="00990364" w14:paraId="391AD3DC" w14:textId="77777777">
            <w:pPr>
              <w:overflowPunct w:val="0"/>
              <w:autoSpaceDE w:val="0"/>
              <w:autoSpaceDN w:val="0"/>
              <w:adjustRightInd w:val="0"/>
              <w:spacing w:line="240" w:lineRule="auto"/>
              <w:rPr>
                <w:szCs w:val="22"/>
                <w:lang w:val="es-ES_tradnl"/>
              </w:rPr>
            </w:pPr>
            <w:r w:rsidRPr="00BE2F51">
              <w:rPr>
                <w:i/>
                <w:iCs/>
                <w:szCs w:val="22"/>
              </w:rPr>
              <w:t xml:space="preserve"> Refinanciamiento Parcial por Emergencia Nacional COVID19</w:t>
            </w:r>
          </w:p>
        </w:tc>
      </w:tr>
      <w:tr w:rsidRPr="00BE2F51" w:rsidR="00990364" w:rsidTr="00BA0038" w14:paraId="099ED975" w14:textId="77777777">
        <w:trPr>
          <w:jc w:val="center"/>
        </w:trPr>
        <w:tc>
          <w:tcPr>
            <w:tcW w:w="1021" w:type="dxa"/>
          </w:tcPr>
          <w:p w:rsidRPr="00BE2F51" w:rsidR="00990364" w:rsidP="00552092" w:rsidRDefault="00990364" w14:paraId="54CBEF21" w14:textId="77777777">
            <w:pPr>
              <w:overflowPunct w:val="0"/>
              <w:autoSpaceDE w:val="0"/>
              <w:autoSpaceDN w:val="0"/>
              <w:adjustRightInd w:val="0"/>
              <w:spacing w:line="240" w:lineRule="auto"/>
              <w:jc w:val="center"/>
              <w:rPr>
                <w:b/>
                <w:bCs/>
                <w:i/>
                <w:iCs/>
                <w:szCs w:val="22"/>
                <w:lang w:val="es-ES_tradnl"/>
              </w:rPr>
            </w:pPr>
            <w:r w:rsidRPr="00BE2F51">
              <w:rPr>
                <w:b/>
                <w:bCs/>
                <w:i/>
                <w:iCs/>
                <w:szCs w:val="22"/>
              </w:rPr>
              <w:t>18</w:t>
            </w:r>
          </w:p>
        </w:tc>
        <w:tc>
          <w:tcPr>
            <w:tcW w:w="6062" w:type="dxa"/>
          </w:tcPr>
          <w:p w:rsidRPr="00BE2F51" w:rsidR="00990364" w:rsidP="00552092" w:rsidRDefault="00990364" w14:paraId="2EA1A0B4" w14:textId="77777777">
            <w:pPr>
              <w:overflowPunct w:val="0"/>
              <w:autoSpaceDE w:val="0"/>
              <w:autoSpaceDN w:val="0"/>
              <w:adjustRightInd w:val="0"/>
              <w:spacing w:line="240" w:lineRule="auto"/>
              <w:rPr>
                <w:szCs w:val="22"/>
                <w:lang w:val="es-ES_tradnl"/>
              </w:rPr>
            </w:pPr>
            <w:r w:rsidRPr="00BE2F51">
              <w:rPr>
                <w:i/>
                <w:iCs/>
                <w:szCs w:val="22"/>
              </w:rPr>
              <w:t xml:space="preserve"> Refinanciamiento Total por Emergencia Nacional COVID19</w:t>
            </w:r>
          </w:p>
        </w:tc>
      </w:tr>
      <w:tr w:rsidRPr="00BE2F51" w:rsidR="00990364" w:rsidTr="00BA0038" w14:paraId="03634E01" w14:textId="77777777">
        <w:trPr>
          <w:jc w:val="center"/>
        </w:trPr>
        <w:tc>
          <w:tcPr>
            <w:tcW w:w="1021" w:type="dxa"/>
          </w:tcPr>
          <w:p w:rsidRPr="00BE2F51" w:rsidR="00990364" w:rsidP="00552092" w:rsidRDefault="00990364" w14:paraId="2E091C98" w14:textId="77777777">
            <w:pPr>
              <w:overflowPunct w:val="0"/>
              <w:autoSpaceDE w:val="0"/>
              <w:autoSpaceDN w:val="0"/>
              <w:adjustRightInd w:val="0"/>
              <w:spacing w:line="240" w:lineRule="auto"/>
              <w:jc w:val="center"/>
              <w:rPr>
                <w:b/>
                <w:bCs/>
                <w:i/>
                <w:iCs/>
                <w:szCs w:val="22"/>
                <w:lang w:val="es-ES_tradnl"/>
              </w:rPr>
            </w:pPr>
            <w:r w:rsidRPr="00BE2F51">
              <w:rPr>
                <w:b/>
                <w:bCs/>
                <w:i/>
                <w:iCs/>
                <w:szCs w:val="22"/>
              </w:rPr>
              <w:t>19</w:t>
            </w:r>
          </w:p>
        </w:tc>
        <w:tc>
          <w:tcPr>
            <w:tcW w:w="6062" w:type="dxa"/>
          </w:tcPr>
          <w:p w:rsidRPr="00BE2F51" w:rsidR="00990364" w:rsidP="00552092" w:rsidRDefault="00990364" w14:paraId="2E9ACAD0" w14:textId="77777777">
            <w:pPr>
              <w:overflowPunct w:val="0"/>
              <w:autoSpaceDE w:val="0"/>
              <w:autoSpaceDN w:val="0"/>
              <w:adjustRightInd w:val="0"/>
              <w:spacing w:line="240" w:lineRule="auto"/>
              <w:rPr>
                <w:szCs w:val="22"/>
                <w:lang w:val="es-ES_tradnl"/>
              </w:rPr>
            </w:pPr>
            <w:r w:rsidRPr="00BE2F51">
              <w:rPr>
                <w:i/>
                <w:iCs/>
                <w:szCs w:val="22"/>
              </w:rPr>
              <w:t>Readecuación por afectación Ley 9859</w:t>
            </w:r>
          </w:p>
        </w:tc>
      </w:tr>
      <w:tr w:rsidRPr="00BE2F51" w:rsidR="00990364" w:rsidTr="00BA0038" w14:paraId="3FBD83E0" w14:textId="77777777">
        <w:trPr>
          <w:jc w:val="center"/>
        </w:trPr>
        <w:tc>
          <w:tcPr>
            <w:tcW w:w="1021" w:type="dxa"/>
          </w:tcPr>
          <w:p w:rsidRPr="00BE2F51" w:rsidR="00990364" w:rsidP="00552092" w:rsidRDefault="00990364" w14:paraId="13B437EF" w14:textId="77777777">
            <w:pPr>
              <w:overflowPunct w:val="0"/>
              <w:autoSpaceDE w:val="0"/>
              <w:autoSpaceDN w:val="0"/>
              <w:adjustRightInd w:val="0"/>
              <w:spacing w:line="240" w:lineRule="auto"/>
              <w:jc w:val="center"/>
              <w:rPr>
                <w:b/>
                <w:bCs/>
                <w:i/>
                <w:iCs/>
                <w:szCs w:val="22"/>
                <w:lang w:val="es-ES_tradnl"/>
              </w:rPr>
            </w:pPr>
            <w:r w:rsidRPr="00BE2F51">
              <w:rPr>
                <w:b/>
                <w:bCs/>
                <w:i/>
                <w:iCs/>
                <w:szCs w:val="22"/>
              </w:rPr>
              <w:t>20</w:t>
            </w:r>
          </w:p>
        </w:tc>
        <w:tc>
          <w:tcPr>
            <w:tcW w:w="6062" w:type="dxa"/>
          </w:tcPr>
          <w:p w:rsidRPr="00BE2F51" w:rsidR="00990364" w:rsidP="00552092" w:rsidRDefault="00990364" w14:paraId="03D28ED0" w14:textId="77777777">
            <w:pPr>
              <w:overflowPunct w:val="0"/>
              <w:autoSpaceDE w:val="0"/>
              <w:autoSpaceDN w:val="0"/>
              <w:adjustRightInd w:val="0"/>
              <w:spacing w:line="240" w:lineRule="auto"/>
              <w:rPr>
                <w:szCs w:val="22"/>
                <w:lang w:val="es-ES_tradnl"/>
              </w:rPr>
            </w:pPr>
            <w:r w:rsidRPr="00BE2F51">
              <w:rPr>
                <w:i/>
                <w:iCs/>
                <w:szCs w:val="22"/>
              </w:rPr>
              <w:t>Refinanciamiento Parcial por afectación Ley 9859</w:t>
            </w:r>
          </w:p>
        </w:tc>
      </w:tr>
      <w:tr w:rsidRPr="00BE2F51" w:rsidR="00990364" w:rsidTr="00BA0038" w14:paraId="14945CF2" w14:textId="77777777">
        <w:trPr>
          <w:jc w:val="center"/>
        </w:trPr>
        <w:tc>
          <w:tcPr>
            <w:tcW w:w="1021" w:type="dxa"/>
          </w:tcPr>
          <w:p w:rsidRPr="00BE2F51" w:rsidR="00990364" w:rsidP="00552092" w:rsidRDefault="00990364" w14:paraId="6478F8B2" w14:textId="77777777">
            <w:pPr>
              <w:overflowPunct w:val="0"/>
              <w:autoSpaceDE w:val="0"/>
              <w:autoSpaceDN w:val="0"/>
              <w:adjustRightInd w:val="0"/>
              <w:spacing w:line="240" w:lineRule="auto"/>
              <w:jc w:val="center"/>
              <w:rPr>
                <w:b/>
                <w:szCs w:val="22"/>
              </w:rPr>
            </w:pPr>
            <w:r w:rsidRPr="00BE2F51">
              <w:rPr>
                <w:b/>
                <w:bCs/>
                <w:i/>
                <w:iCs/>
                <w:szCs w:val="22"/>
              </w:rPr>
              <w:t>21</w:t>
            </w:r>
          </w:p>
        </w:tc>
        <w:tc>
          <w:tcPr>
            <w:tcW w:w="6062" w:type="dxa"/>
          </w:tcPr>
          <w:p w:rsidRPr="00BE2F51" w:rsidR="00990364" w:rsidP="00552092" w:rsidRDefault="00990364" w14:paraId="0FE9BA14" w14:textId="77777777">
            <w:pPr>
              <w:overflowPunct w:val="0"/>
              <w:autoSpaceDE w:val="0"/>
              <w:autoSpaceDN w:val="0"/>
              <w:adjustRightInd w:val="0"/>
              <w:spacing w:line="240" w:lineRule="auto"/>
              <w:rPr>
                <w:szCs w:val="22"/>
              </w:rPr>
            </w:pPr>
            <w:r w:rsidRPr="00BE2F51">
              <w:rPr>
                <w:i/>
                <w:iCs/>
                <w:szCs w:val="22"/>
              </w:rPr>
              <w:t>Refinanciamiento Total por afectación Ley 9859</w:t>
            </w:r>
          </w:p>
        </w:tc>
      </w:tr>
    </w:tbl>
    <w:p w:rsidRPr="00BE2F51" w:rsidR="00990364" w:rsidP="00990364" w:rsidRDefault="00990364" w14:paraId="1ABE74ED" w14:textId="77777777">
      <w:pPr>
        <w:pStyle w:val="Prrafodelista"/>
        <w:ind w:left="502"/>
        <w:jc w:val="both"/>
        <w:rPr>
          <w:rFonts w:ascii="Cambria" w:hAnsi="Cambria"/>
          <w:sz w:val="22"/>
          <w:szCs w:val="22"/>
        </w:rPr>
      </w:pPr>
    </w:p>
    <w:p w:rsidRPr="00BE2F51" w:rsidR="00990364" w:rsidP="00990364" w:rsidRDefault="00990364" w14:paraId="179866BE" w14:textId="7F9E1E2C">
      <w:pPr>
        <w:pStyle w:val="Prrafodelista"/>
        <w:numPr>
          <w:ilvl w:val="0"/>
          <w:numId w:val="5"/>
        </w:numPr>
        <w:ind w:left="709" w:hanging="425"/>
        <w:jc w:val="both"/>
        <w:rPr>
          <w:rFonts w:ascii="Cambria" w:hAnsi="Cambria"/>
          <w:sz w:val="22"/>
          <w:szCs w:val="22"/>
        </w:rPr>
      </w:pPr>
      <w:r w:rsidRPr="00BE2F51">
        <w:rPr>
          <w:rFonts w:ascii="Cambria" w:hAnsi="Cambria"/>
          <w:sz w:val="22"/>
          <w:szCs w:val="22"/>
        </w:rPr>
        <w:t>Crear de manera temporal la clase de datos 39</w:t>
      </w:r>
      <w:r>
        <w:rPr>
          <w:rFonts w:ascii="Cambria" w:hAnsi="Cambria"/>
          <w:sz w:val="22"/>
          <w:szCs w:val="22"/>
        </w:rPr>
        <w:t xml:space="preserve"> </w:t>
      </w:r>
      <w:r w:rsidRPr="00DA7BB3">
        <w:rPr>
          <w:rFonts w:ascii="Cambria" w:hAnsi="Cambria"/>
          <w:i/>
          <w:sz w:val="22"/>
          <w:szCs w:val="22"/>
        </w:rPr>
        <w:t>ModificacionesCreditoEmergenciaCOVID19</w:t>
      </w:r>
      <w:r w:rsidRPr="00BE2F51">
        <w:rPr>
          <w:rFonts w:ascii="Cambria" w:hAnsi="Cambria"/>
          <w:sz w:val="22"/>
          <w:szCs w:val="22"/>
        </w:rPr>
        <w:t xml:space="preserve"> para el reporte de modificaciones aplicadas a las operaciones </w:t>
      </w:r>
      <w:r>
        <w:rPr>
          <w:rFonts w:ascii="Cambria" w:hAnsi="Cambria"/>
          <w:sz w:val="22"/>
          <w:szCs w:val="22"/>
        </w:rPr>
        <w:t xml:space="preserve">de crédito </w:t>
      </w:r>
      <w:r w:rsidR="006A66CD">
        <w:rPr>
          <w:rFonts w:ascii="Cambria" w:hAnsi="Cambria"/>
          <w:sz w:val="22"/>
          <w:szCs w:val="22"/>
        </w:rPr>
        <w:t xml:space="preserve">comprendidas </w:t>
      </w:r>
      <w:r w:rsidRPr="00BE2F51">
        <w:rPr>
          <w:rFonts w:ascii="Cambria" w:hAnsi="Cambria"/>
          <w:sz w:val="22"/>
          <w:szCs w:val="22"/>
        </w:rPr>
        <w:t xml:space="preserve">entre los meses de marzo </w:t>
      </w:r>
      <w:r w:rsidR="006A66CD">
        <w:rPr>
          <w:rFonts w:ascii="Cambria" w:hAnsi="Cambria"/>
          <w:sz w:val="22"/>
          <w:szCs w:val="22"/>
        </w:rPr>
        <w:t>hasta</w:t>
      </w:r>
      <w:r w:rsidRPr="00BE2F51">
        <w:rPr>
          <w:rFonts w:ascii="Cambria" w:hAnsi="Cambria"/>
          <w:sz w:val="22"/>
          <w:szCs w:val="22"/>
        </w:rPr>
        <w:t xml:space="preserve"> julio </w:t>
      </w:r>
      <w:r w:rsidR="006A66CD">
        <w:rPr>
          <w:rFonts w:ascii="Cambria" w:hAnsi="Cambria"/>
          <w:sz w:val="22"/>
          <w:szCs w:val="22"/>
        </w:rPr>
        <w:t xml:space="preserve">del </w:t>
      </w:r>
      <w:r w:rsidRPr="00BE2F51">
        <w:rPr>
          <w:rFonts w:ascii="Cambria" w:hAnsi="Cambria"/>
          <w:sz w:val="22"/>
          <w:szCs w:val="22"/>
        </w:rPr>
        <w:t>2020</w:t>
      </w:r>
      <w:r w:rsidR="006A66CD">
        <w:rPr>
          <w:rFonts w:ascii="Cambria" w:hAnsi="Cambria"/>
          <w:sz w:val="22"/>
          <w:szCs w:val="22"/>
        </w:rPr>
        <w:t xml:space="preserve"> </w:t>
      </w:r>
      <w:r w:rsidRPr="00BE2F51">
        <w:rPr>
          <w:rFonts w:ascii="Cambria" w:hAnsi="Cambria"/>
          <w:sz w:val="22"/>
          <w:szCs w:val="22"/>
        </w:rPr>
        <w:t xml:space="preserve"> a raíz de la emergencia Nacional Covid19. La documentación relacionada con este nuevo XML se encuentra disponible en el sitio web de esta Superintendencia.</w:t>
      </w:r>
    </w:p>
    <w:p w:rsidR="00990364" w:rsidP="00990364" w:rsidRDefault="00990364" w14:paraId="4CAA34CE" w14:textId="77777777">
      <w:pPr>
        <w:pStyle w:val="Prrafodelista"/>
        <w:ind w:left="720"/>
        <w:jc w:val="both"/>
        <w:rPr>
          <w:rFonts w:ascii="Cambria" w:hAnsi="Cambria"/>
          <w:sz w:val="22"/>
          <w:szCs w:val="22"/>
        </w:rPr>
      </w:pPr>
    </w:p>
    <w:p w:rsidR="00BA0038" w:rsidP="00990364" w:rsidRDefault="00BA0038" w14:paraId="5C9BE971" w14:textId="76DFCA02">
      <w:pPr>
        <w:pStyle w:val="Prrafodelista"/>
        <w:ind w:left="720"/>
        <w:jc w:val="both"/>
        <w:rPr>
          <w:rFonts w:ascii="Cambria" w:hAnsi="Cambria"/>
          <w:sz w:val="22"/>
          <w:szCs w:val="22"/>
        </w:rPr>
      </w:pPr>
    </w:p>
    <w:p w:rsidR="00BA0038" w:rsidP="00990364" w:rsidRDefault="00BA0038" w14:paraId="1F46B6CE" w14:textId="77777777">
      <w:pPr>
        <w:pStyle w:val="Prrafodelista"/>
        <w:ind w:left="720"/>
        <w:jc w:val="both"/>
        <w:rPr>
          <w:rFonts w:ascii="Cambria" w:hAnsi="Cambria"/>
          <w:sz w:val="22"/>
          <w:szCs w:val="22"/>
        </w:rPr>
      </w:pPr>
    </w:p>
    <w:p w:rsidR="00BA0038" w:rsidP="00990364" w:rsidRDefault="00BA0038" w14:paraId="2EAA8079" w14:textId="77777777">
      <w:pPr>
        <w:pStyle w:val="Prrafodelista"/>
        <w:ind w:left="720"/>
        <w:jc w:val="both"/>
        <w:rPr>
          <w:rFonts w:ascii="Cambria" w:hAnsi="Cambria"/>
          <w:sz w:val="22"/>
          <w:szCs w:val="22"/>
        </w:rPr>
      </w:pPr>
    </w:p>
    <w:p w:rsidRPr="00BE2F51" w:rsidR="00BA0038" w:rsidP="00990364" w:rsidRDefault="00BA0038" w14:paraId="52A7CC01" w14:textId="77777777">
      <w:pPr>
        <w:pStyle w:val="Prrafodelista"/>
        <w:ind w:left="720"/>
        <w:jc w:val="both"/>
        <w:rPr>
          <w:rFonts w:ascii="Cambria" w:hAnsi="Cambria"/>
          <w:sz w:val="22"/>
          <w:szCs w:val="22"/>
        </w:rPr>
      </w:pPr>
    </w:p>
    <w:p w:rsidRPr="00BE2F51" w:rsidR="00990364" w:rsidP="00990364" w:rsidRDefault="00990364" w14:paraId="38B89C00" w14:textId="5322B66E">
      <w:pPr>
        <w:pStyle w:val="Prrafodelista"/>
        <w:numPr>
          <w:ilvl w:val="0"/>
          <w:numId w:val="5"/>
        </w:numPr>
        <w:ind w:left="709" w:hanging="425"/>
        <w:jc w:val="both"/>
        <w:rPr>
          <w:rFonts w:ascii="Cambria" w:hAnsi="Cambria"/>
          <w:sz w:val="22"/>
          <w:szCs w:val="22"/>
          <w:lang w:val="es-CR" w:eastAsia="en-US"/>
        </w:rPr>
      </w:pPr>
      <w:r w:rsidRPr="00BE2F51">
        <w:rPr>
          <w:rFonts w:ascii="Cambria" w:hAnsi="Cambria"/>
          <w:sz w:val="22"/>
          <w:szCs w:val="22"/>
        </w:rPr>
        <w:t>Informar que</w:t>
      </w:r>
      <w:r>
        <w:rPr>
          <w:rFonts w:ascii="Cambria" w:hAnsi="Cambria"/>
          <w:sz w:val="22"/>
          <w:szCs w:val="22"/>
        </w:rPr>
        <w:t>,</w:t>
      </w:r>
      <w:r w:rsidRPr="00BE2F51">
        <w:rPr>
          <w:rFonts w:ascii="Cambria" w:hAnsi="Cambria"/>
          <w:sz w:val="22"/>
          <w:szCs w:val="22"/>
        </w:rPr>
        <w:t xml:space="preserve"> para el envío de la información crediticia a partir del periodo con corte a agosto 2020</w:t>
      </w:r>
      <w:r w:rsidR="006A66CD">
        <w:rPr>
          <w:rFonts w:ascii="Cambria" w:hAnsi="Cambria"/>
          <w:sz w:val="22"/>
          <w:szCs w:val="22"/>
        </w:rPr>
        <w:t xml:space="preserve"> y siguientes</w:t>
      </w:r>
      <w:r w:rsidRPr="00BE2F51">
        <w:rPr>
          <w:rFonts w:ascii="Cambria" w:hAnsi="Cambria"/>
          <w:sz w:val="22"/>
          <w:szCs w:val="22"/>
        </w:rPr>
        <w:t xml:space="preserve">, se crean en la Tabla </w:t>
      </w:r>
      <w:r w:rsidRPr="00DA7BB3">
        <w:rPr>
          <w:rFonts w:ascii="Cambria" w:hAnsi="Cambria"/>
          <w:i/>
          <w:sz w:val="22"/>
          <w:szCs w:val="22"/>
        </w:rPr>
        <w:t>Tipo_Modificacion_Operacion</w:t>
      </w:r>
      <w:r w:rsidRPr="00BE2F51">
        <w:rPr>
          <w:rFonts w:ascii="Cambria" w:hAnsi="Cambria"/>
          <w:sz w:val="22"/>
          <w:szCs w:val="22"/>
        </w:rPr>
        <w:t xml:space="preserve"> los códigos “19-20-21” para la identificación de modificaciones aplicadas a  operaciones </w:t>
      </w:r>
      <w:r>
        <w:rPr>
          <w:rFonts w:ascii="Cambria" w:hAnsi="Cambria"/>
          <w:sz w:val="22"/>
          <w:szCs w:val="22"/>
        </w:rPr>
        <w:t xml:space="preserve">de crédito </w:t>
      </w:r>
      <w:r w:rsidRPr="00BE2F51">
        <w:rPr>
          <w:rFonts w:ascii="Cambria" w:hAnsi="Cambria"/>
          <w:sz w:val="22"/>
          <w:szCs w:val="22"/>
        </w:rPr>
        <w:t>por efecto del límite establecido en  el artículo 36 bis de la Ley 7472 “</w:t>
      </w:r>
      <w:r w:rsidRPr="00BE2F51">
        <w:rPr>
          <w:rFonts w:ascii="Cambria" w:hAnsi="Cambria"/>
          <w:b/>
          <w:bCs/>
          <w:i/>
          <w:iCs/>
          <w:sz w:val="22"/>
          <w:szCs w:val="22"/>
        </w:rPr>
        <w:t>Ley de Promoción de la Competencia y Defensa Efectiva del Consumidor</w:t>
      </w:r>
      <w:r w:rsidRPr="00BE2F51">
        <w:rPr>
          <w:rFonts w:ascii="Cambria" w:hAnsi="Cambria"/>
          <w:sz w:val="22"/>
          <w:szCs w:val="22"/>
        </w:rPr>
        <w:t>”.</w:t>
      </w:r>
    </w:p>
    <w:p w:rsidRPr="00BE2F51" w:rsidR="00990364" w:rsidP="00990364" w:rsidRDefault="00990364" w14:paraId="1D458BB0" w14:textId="77777777">
      <w:pPr>
        <w:pStyle w:val="Prrafodelista"/>
        <w:rPr>
          <w:rFonts w:ascii="Cambria" w:hAnsi="Cambria"/>
          <w:sz w:val="22"/>
          <w:szCs w:val="22"/>
        </w:rPr>
      </w:pPr>
    </w:p>
    <w:p w:rsidRPr="00BE2F51" w:rsidR="00990364" w:rsidP="00990364" w:rsidRDefault="00990364" w14:paraId="100C90B1" w14:textId="77777777">
      <w:pPr>
        <w:pStyle w:val="Prrafodelista"/>
        <w:numPr>
          <w:ilvl w:val="0"/>
          <w:numId w:val="5"/>
        </w:numPr>
        <w:ind w:left="709" w:hanging="425"/>
        <w:jc w:val="both"/>
        <w:rPr>
          <w:rFonts w:ascii="Cambria" w:hAnsi="Cambria"/>
          <w:sz w:val="22"/>
          <w:szCs w:val="22"/>
        </w:rPr>
      </w:pPr>
      <w:r w:rsidRPr="00BE2F51">
        <w:rPr>
          <w:rFonts w:ascii="Cambria" w:hAnsi="Cambria"/>
          <w:sz w:val="22"/>
          <w:szCs w:val="22"/>
        </w:rPr>
        <w:t xml:space="preserve">Se considera necesario divulgar las modificaciones al </w:t>
      </w:r>
      <w:r w:rsidRPr="00DA7BB3">
        <w:rPr>
          <w:rFonts w:ascii="Cambria" w:hAnsi="Cambria"/>
          <w:i/>
          <w:sz w:val="22"/>
          <w:szCs w:val="22"/>
        </w:rPr>
        <w:t>“Manual de Clases de Datos”</w:t>
      </w:r>
      <w:r w:rsidRPr="00BE2F51">
        <w:rPr>
          <w:rFonts w:ascii="Cambria" w:hAnsi="Cambria"/>
          <w:sz w:val="22"/>
          <w:szCs w:val="22"/>
        </w:rPr>
        <w:t xml:space="preserve"> y el archivo </w:t>
      </w:r>
      <w:r w:rsidRPr="00DA7BB3">
        <w:rPr>
          <w:rFonts w:ascii="Cambria" w:hAnsi="Cambria"/>
          <w:i/>
          <w:sz w:val="22"/>
          <w:szCs w:val="22"/>
        </w:rPr>
        <w:t>TablasdeDocumentación XML</w:t>
      </w:r>
      <w:r w:rsidRPr="00BE2F51">
        <w:rPr>
          <w:rFonts w:ascii="Cambria" w:hAnsi="Cambria"/>
          <w:sz w:val="22"/>
          <w:szCs w:val="22"/>
        </w:rPr>
        <w:t>, los cuales estarán disponibles a partir de la fecha de comunicación de esta circular, en el sitio Web de esta Superintendencia.</w:t>
      </w:r>
    </w:p>
    <w:p w:rsidRPr="00BE2F51" w:rsidR="00990364" w:rsidP="00990364" w:rsidRDefault="00990364" w14:paraId="4D17A127" w14:textId="77777777">
      <w:pPr>
        <w:pStyle w:val="Prrafodelista"/>
        <w:rPr>
          <w:rFonts w:ascii="Cambria" w:hAnsi="Cambria"/>
          <w:sz w:val="22"/>
          <w:szCs w:val="22"/>
        </w:rPr>
      </w:pPr>
    </w:p>
    <w:p w:rsidR="00990364" w:rsidP="00990364" w:rsidRDefault="00990364" w14:paraId="1E8E409E" w14:textId="77777777">
      <w:pPr>
        <w:pStyle w:val="Prrafodelista"/>
        <w:ind w:left="720"/>
        <w:jc w:val="both"/>
        <w:rPr>
          <w:rFonts w:ascii="Cambria" w:hAnsi="Cambria"/>
          <w:sz w:val="22"/>
          <w:szCs w:val="22"/>
        </w:rPr>
      </w:pPr>
      <w:r w:rsidRPr="00BE2F51">
        <w:rPr>
          <w:rFonts w:ascii="Cambria" w:hAnsi="Cambria"/>
          <w:sz w:val="22"/>
          <w:szCs w:val="22"/>
        </w:rPr>
        <w:t xml:space="preserve">La documentación y los archivos XML y XSD de la nueva clase de datos 39 para el reporte de modificaciones efectuadas entre marzo y julio 2020, estará en la misma carpeta donde se ubica el “Manual de </w:t>
      </w:r>
      <w:r>
        <w:rPr>
          <w:rFonts w:ascii="Cambria" w:hAnsi="Cambria"/>
          <w:sz w:val="22"/>
          <w:szCs w:val="22"/>
        </w:rPr>
        <w:t>Información SICVECA</w:t>
      </w:r>
      <w:r w:rsidRPr="00BE2F51">
        <w:rPr>
          <w:rFonts w:ascii="Cambria" w:hAnsi="Cambria"/>
          <w:sz w:val="22"/>
          <w:szCs w:val="22"/>
        </w:rPr>
        <w:t>”</w:t>
      </w:r>
      <w:r>
        <w:rPr>
          <w:rFonts w:ascii="Cambria" w:hAnsi="Cambria"/>
          <w:sz w:val="22"/>
          <w:szCs w:val="22"/>
        </w:rPr>
        <w:t xml:space="preserve"> apartado Crediticio.</w:t>
      </w:r>
    </w:p>
    <w:p w:rsidR="005B1284" w:rsidP="00990364" w:rsidRDefault="005B1284" w14:paraId="112650AE" w14:textId="4B96D34C">
      <w:pPr>
        <w:pStyle w:val="Prrafodelista"/>
        <w:ind w:left="720"/>
        <w:jc w:val="both"/>
        <w:rPr>
          <w:rFonts w:ascii="Cambria" w:hAnsi="Cambria"/>
          <w:sz w:val="22"/>
          <w:szCs w:val="22"/>
        </w:rPr>
      </w:pPr>
    </w:p>
    <w:p w:rsidR="002F3B0D" w:rsidP="002F3B0D" w:rsidRDefault="002F3B0D" w14:paraId="1DA72463" w14:textId="426BE7C8">
      <w:pPr>
        <w:pStyle w:val="Prrafodelista"/>
        <w:numPr>
          <w:ilvl w:val="0"/>
          <w:numId w:val="5"/>
        </w:numPr>
        <w:ind w:left="709" w:hanging="425"/>
        <w:jc w:val="both"/>
        <w:rPr>
          <w:rFonts w:ascii="Cambria" w:hAnsi="Cambria"/>
          <w:sz w:val="22"/>
          <w:szCs w:val="22"/>
        </w:rPr>
      </w:pPr>
      <w:r>
        <w:rPr>
          <w:rFonts w:eastAsia="Calibri"/>
          <w:color w:val="000000" w:themeColor="text1"/>
          <w:lang w:val="es-CR"/>
        </w:rPr>
        <w:t xml:space="preserve">Las </w:t>
      </w:r>
      <w:r w:rsidR="00A6786C">
        <w:rPr>
          <w:rFonts w:eastAsia="Calibri"/>
          <w:color w:val="000000" w:themeColor="text1"/>
          <w:lang w:val="es-CR"/>
        </w:rPr>
        <w:t xml:space="preserve">consultas técnicas, sobre estas modificaciones  </w:t>
      </w:r>
      <w:r>
        <w:rPr>
          <w:rFonts w:eastAsia="Calibri"/>
          <w:color w:val="000000" w:themeColor="text1"/>
          <w:lang w:val="es-CR"/>
        </w:rPr>
        <w:t xml:space="preserve">deben realizarlas </w:t>
      </w:r>
      <w:r w:rsidRPr="00412D43">
        <w:rPr>
          <w:rFonts w:eastAsia="Calibri"/>
          <w:color w:val="000000" w:themeColor="text1"/>
          <w:lang w:val="es-CR"/>
        </w:rPr>
        <w:t>a la dirección de correo</w:t>
      </w:r>
      <w:r>
        <w:rPr>
          <w:rFonts w:eastAsia="Calibri"/>
          <w:color w:val="000000" w:themeColor="text1"/>
          <w:lang w:val="es-CR"/>
        </w:rPr>
        <w:t>:</w:t>
      </w:r>
      <w:r w:rsidRPr="00412D43">
        <w:rPr>
          <w:rFonts w:eastAsia="Calibri"/>
          <w:color w:val="000000" w:themeColor="text1"/>
          <w:lang w:val="es-CR"/>
        </w:rPr>
        <w:t xml:space="preserve"> </w:t>
      </w:r>
      <w:hyperlink w:history="1" r:id="rId12">
        <w:r w:rsidRPr="00B95BB0">
          <w:rPr>
            <w:rStyle w:val="Hipervnculo"/>
            <w:rFonts w:ascii="Cambria" w:hAnsi="Cambria"/>
            <w:sz w:val="22"/>
            <w:szCs w:val="22"/>
          </w:rPr>
          <w:t>consultassicvecacredito@sugef.fi.cr</w:t>
        </w:r>
      </w:hyperlink>
      <w:r>
        <w:rPr>
          <w:rFonts w:ascii="Cambria" w:hAnsi="Cambria"/>
          <w:sz w:val="22"/>
          <w:szCs w:val="22"/>
        </w:rPr>
        <w:t xml:space="preserve"> </w:t>
      </w:r>
    </w:p>
    <w:p w:rsidRPr="002E2B0A" w:rsidR="006972C9" w:rsidP="006972C9" w:rsidRDefault="006972C9" w14:paraId="5251B302" w14:textId="77777777">
      <w:pPr>
        <w:pStyle w:val="Texto"/>
        <w:spacing w:before="0" w:after="0" w:line="240" w:lineRule="auto"/>
        <w:rPr>
          <w:sz w:val="24"/>
        </w:rPr>
      </w:pPr>
      <w:r w:rsidRPr="002E2B0A">
        <w:rPr>
          <w:sz w:val="24"/>
        </w:rPr>
        <w:tab/>
      </w:r>
    </w:p>
    <w:p w:rsidRPr="002E2B0A" w:rsidR="006972C9" w:rsidP="006972C9" w:rsidRDefault="006972C9" w14:paraId="234D23C1" w14:textId="5DCB5F3E">
      <w:pPr>
        <w:pStyle w:val="Texto"/>
        <w:spacing w:before="0" w:after="0" w:line="240" w:lineRule="auto"/>
        <w:rPr>
          <w:sz w:val="24"/>
        </w:rPr>
      </w:pPr>
      <w:r w:rsidRPr="002E2B0A">
        <w:rPr>
          <w:sz w:val="24"/>
        </w:rPr>
        <w:t>Atentamente,</w:t>
      </w:r>
    </w:p>
    <w:p w:rsidR="006972C9" w:rsidP="006972C9" w:rsidRDefault="00BA0038" w14:paraId="6161564A" w14:textId="5E11B7EC">
      <w:pPr>
        <w:spacing w:line="240" w:lineRule="auto"/>
        <w:rPr>
          <w:sz w:val="24"/>
        </w:rPr>
      </w:pPr>
      <w:r>
        <w:rPr>
          <w:noProof/>
          <w:lang w:val="es-CR" w:eastAsia="es-CR"/>
        </w:rPr>
        <w:drawing>
          <wp:anchor distT="0" distB="0" distL="114300" distR="114300" simplePos="0" relativeHeight="251659264" behindDoc="1" locked="0" layoutInCell="1" allowOverlap="1" wp14:editId="0D1DBA11" wp14:anchorId="73BD3D35">
            <wp:simplePos x="0" y="0"/>
            <wp:positionH relativeFrom="column">
              <wp:posOffset>-163830</wp:posOffset>
            </wp:positionH>
            <wp:positionV relativeFrom="paragraph">
              <wp:posOffset>79972</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BA0038" w:rsidP="006972C9" w:rsidRDefault="00BA0038" w14:paraId="474D646B" w14:textId="7B87B77C">
      <w:pPr>
        <w:spacing w:line="240" w:lineRule="auto"/>
        <w:rPr>
          <w:sz w:val="24"/>
        </w:rPr>
      </w:pPr>
    </w:p>
    <w:p w:rsidRPr="002E2B0A" w:rsidR="00BA0038" w:rsidP="006972C9" w:rsidRDefault="00BA0038" w14:paraId="35DEE210" w14:textId="0B12857C">
      <w:pPr>
        <w:spacing w:line="240" w:lineRule="auto"/>
        <w:rPr>
          <w:sz w:val="24"/>
        </w:rPr>
      </w:pPr>
    </w:p>
    <w:p w:rsidR="00725C3A" w:rsidP="006972C9" w:rsidRDefault="006972C9" w14:paraId="6E38310B" w14:textId="7EF01D35">
      <w:pPr>
        <w:pStyle w:val="Negrita"/>
        <w:jc w:val="left"/>
        <w:rPr>
          <w:sz w:val="24"/>
        </w:rPr>
      </w:pPr>
      <w:r w:rsidRPr="006D170A">
        <w:rPr>
          <w:b w:val="0"/>
          <w:sz w:val="24"/>
        </w:rPr>
        <w:t>Bernardo Alfaro A.</w:t>
      </w:r>
      <w:r>
        <w:rPr>
          <w:sz w:val="24"/>
        </w:rPr>
        <w:br/>
        <w:t>Superi</w:t>
      </w:r>
      <w:r w:rsidRPr="00A35D0A">
        <w:rPr>
          <w:sz w:val="24"/>
        </w:rPr>
        <w:t xml:space="preserve">ntendente </w:t>
      </w:r>
    </w:p>
    <w:p w:rsidR="006972C9" w:rsidP="006972C9" w:rsidRDefault="006972C9" w14:paraId="7CBE5CDE" w14:textId="31414A6A">
      <w:pPr>
        <w:pStyle w:val="Negrita"/>
        <w:jc w:val="left"/>
        <w:rPr>
          <w:noProof/>
          <w:lang w:val="es-CR" w:eastAsia="es-CR"/>
        </w:rPr>
      </w:pPr>
      <w:r>
        <w:rPr>
          <w:noProof/>
          <w:lang w:val="es-CR" w:eastAsia="es-CR"/>
        </w:rPr>
        <w:t xml:space="preserve"> </w:t>
      </w:r>
    </w:p>
    <w:p w:rsidRPr="00BA0038" w:rsidR="004C709E" w:rsidP="006972C9" w:rsidRDefault="00BA0038" w14:paraId="248C39F3" w14:textId="45380E04">
      <w:pPr>
        <w:pStyle w:val="CC"/>
        <w:rPr>
          <w:sz w:val="16"/>
        </w:rPr>
      </w:pPr>
      <w:r w:rsidRPr="00BA0038">
        <w:rPr>
          <w:sz w:val="16"/>
        </w:rPr>
        <w:t>OMMB/</w:t>
      </w:r>
      <w:r w:rsidRPr="00BA0038" w:rsidR="004C709E">
        <w:rPr>
          <w:sz w:val="16"/>
        </w:rPr>
        <w:t>aaa</w:t>
      </w:r>
      <w:r w:rsidRPr="00BA0038">
        <w:rPr>
          <w:sz w:val="16"/>
        </w:rPr>
        <w:t>*</w:t>
      </w:r>
    </w:p>
    <w:p w:rsidRPr="006972C9" w:rsidR="006972C9" w:rsidP="006972C9" w:rsidRDefault="006972C9" w14:paraId="1E670459" w14:textId="77777777"/>
    <w:p w:rsidRPr="006972C9" w:rsidR="006972C9" w:rsidP="006972C9" w:rsidRDefault="006972C9" w14:paraId="711E7F74" w14:textId="77777777">
      <w:bookmarkStart w:name="_GoBack" w:id="0"/>
      <w:bookmarkEnd w:id="0"/>
    </w:p>
    <w:p w:rsidRPr="006972C9" w:rsidR="006972C9" w:rsidP="006972C9" w:rsidRDefault="006972C9" w14:paraId="3A0C7D07" w14:textId="77777777"/>
    <w:p w:rsidRPr="006972C9" w:rsidR="006972C9" w:rsidP="006972C9" w:rsidRDefault="006972C9" w14:paraId="0C254100" w14:textId="77777777"/>
    <w:p w:rsidRPr="006972C9" w:rsidR="006972C9" w:rsidP="006972C9" w:rsidRDefault="006972C9" w14:paraId="0C3B4D1C" w14:textId="77777777"/>
    <w:p w:rsidRPr="006972C9" w:rsidR="006972C9" w:rsidP="006972C9" w:rsidRDefault="006972C9" w14:paraId="5A09CFD0" w14:textId="77777777"/>
    <w:p w:rsidRPr="006972C9" w:rsidR="006972C9" w:rsidP="006972C9" w:rsidRDefault="006972C9" w14:paraId="45763195" w14:textId="77777777"/>
    <w:p w:rsidRPr="006972C9" w:rsidR="006972C9" w:rsidP="006972C9" w:rsidRDefault="006972C9" w14:paraId="625904DB" w14:textId="77777777"/>
    <w:p w:rsidR="006972C9" w:rsidP="006972C9" w:rsidRDefault="006972C9" w14:paraId="0C1C3CB3" w14:textId="77777777"/>
    <w:p w:rsidRPr="006972C9" w:rsidR="00AF06C5" w:rsidP="006972C9" w:rsidRDefault="006972C9" w14:paraId="32514B29" w14:textId="77777777">
      <w:pPr>
        <w:tabs>
          <w:tab w:val="left" w:pos="7187"/>
        </w:tabs>
      </w:pPr>
      <w:r>
        <w:tab/>
      </w:r>
    </w:p>
    <w:sectPr w:rsidRPr="006972C9" w:rsidR="00AF06C5">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4B54A" w14:textId="77777777" w:rsidR="00990364" w:rsidRDefault="00990364" w:rsidP="009349F3">
      <w:pPr>
        <w:spacing w:line="240" w:lineRule="auto"/>
      </w:pPr>
      <w:r>
        <w:separator/>
      </w:r>
    </w:p>
  </w:endnote>
  <w:endnote w:type="continuationSeparator" w:id="0">
    <w:p w14:paraId="0724FC35" w14:textId="77777777" w:rsidR="00990364" w:rsidRDefault="00990364"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AB" w:rsidRDefault="00F551AB" w14:paraId="242ED005" w14:textId="777777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791F76F1" w14:textId="77777777">
      <w:tc>
        <w:tcPr>
          <w:tcW w:w="2942" w:type="dxa"/>
        </w:tcPr>
        <w:p w:rsidR="00517D62" w:rsidRDefault="00517D62" w14:paraId="177AB91E"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F551AB">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5A1C74EF"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F551AB">
            <w:rPr>
              <w:b/>
              <w:color w:val="7F7F7F" w:themeColor="text1" w:themeTint="80"/>
              <w:sz w:val="16"/>
              <w:szCs w:val="16"/>
            </w:rPr>
            <w:t>-4849</w:t>
          </w:r>
        </w:p>
        <w:p w:rsidRPr="009349F3" w:rsidR="00517D62" w:rsidRDefault="00517D62" w14:paraId="10BEE824" w14:textId="77777777">
          <w:pPr>
            <w:pStyle w:val="Piedepgina"/>
            <w:rPr>
              <w:b/>
              <w:color w:val="7F7F7F" w:themeColor="text1" w:themeTint="80"/>
              <w:sz w:val="16"/>
              <w:szCs w:val="16"/>
            </w:rPr>
          </w:pPr>
        </w:p>
      </w:tc>
      <w:tc>
        <w:tcPr>
          <w:tcW w:w="2943" w:type="dxa"/>
        </w:tcPr>
        <w:p w:rsidRPr="009349F3" w:rsidR="00517D62" w:rsidP="00855792" w:rsidRDefault="00517D62" w14:paraId="06DC7576"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5292F52D"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6AD499DC"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BA0038">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4722FCA7" w14:textId="7777777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AB" w:rsidRDefault="00F551AB" w14:paraId="0AA4E6E6"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9DD22" w14:textId="77777777" w:rsidR="00990364" w:rsidRDefault="00990364" w:rsidP="009349F3">
      <w:pPr>
        <w:spacing w:line="240" w:lineRule="auto"/>
      </w:pPr>
      <w:r>
        <w:separator/>
      </w:r>
    </w:p>
  </w:footnote>
  <w:footnote w:type="continuationSeparator" w:id="0">
    <w:p w14:paraId="6BAA3B21" w14:textId="77777777" w:rsidR="00990364" w:rsidRDefault="00990364" w:rsidP="009349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AB" w:rsidRDefault="00F551AB" w14:paraId="7016479A"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3EFD4754" w14:textId="77777777">
    <w:pPr>
      <w:pStyle w:val="Encabezado"/>
    </w:pPr>
    <w:r>
      <w:ptab w:alignment="center" w:relativeTo="margin" w:leader="none"/>
    </w:r>
    <w:r>
      <w:rPr>
        <w:noProof/>
        <w:lang w:val="es-CR" w:eastAsia="es-CR"/>
      </w:rPr>
      <w:drawing>
        <wp:inline distT="0" distB="0" distL="0" distR="0" wp14:anchorId="44D03E9F" wp14:editId="03FF230C">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AB" w:rsidRDefault="00F551AB" w14:paraId="49788AF8" w14:textId="777777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E4D67"/>
    <w:multiLevelType w:val="hybridMultilevel"/>
    <w:tmpl w:val="0E0E9918"/>
    <w:lvl w:ilvl="0" w:tplc="94C83330">
      <w:start w:val="1"/>
      <w:numFmt w:val="decimal"/>
      <w:lvlText w:val="%1."/>
      <w:lvlJc w:val="left"/>
      <w:pPr>
        <w:ind w:left="720" w:hanging="360"/>
      </w:pPr>
      <w:rPr>
        <w:rFonts w:ascii="Cambria" w:hAnsi="Cambria"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65B50F3A"/>
    <w:multiLevelType w:val="hybridMultilevel"/>
    <w:tmpl w:val="8E8284B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64"/>
    <w:rsid w:val="00021C9A"/>
    <w:rsid w:val="0002354D"/>
    <w:rsid w:val="00100A90"/>
    <w:rsid w:val="002510B8"/>
    <w:rsid w:val="002D6ACD"/>
    <w:rsid w:val="002F3B0D"/>
    <w:rsid w:val="00333738"/>
    <w:rsid w:val="00342844"/>
    <w:rsid w:val="003534B8"/>
    <w:rsid w:val="004C709E"/>
    <w:rsid w:val="00517D62"/>
    <w:rsid w:val="005B1284"/>
    <w:rsid w:val="005F27A1"/>
    <w:rsid w:val="005F7C14"/>
    <w:rsid w:val="0066384E"/>
    <w:rsid w:val="006972C9"/>
    <w:rsid w:val="006A66CD"/>
    <w:rsid w:val="007006C0"/>
    <w:rsid w:val="00725C3A"/>
    <w:rsid w:val="008200B7"/>
    <w:rsid w:val="00852F96"/>
    <w:rsid w:val="00855792"/>
    <w:rsid w:val="00900B79"/>
    <w:rsid w:val="009349F3"/>
    <w:rsid w:val="00990364"/>
    <w:rsid w:val="00A6786C"/>
    <w:rsid w:val="00AF06C5"/>
    <w:rsid w:val="00B13A30"/>
    <w:rsid w:val="00BA0038"/>
    <w:rsid w:val="00BB2066"/>
    <w:rsid w:val="00C643DA"/>
    <w:rsid w:val="00DE2D06"/>
    <w:rsid w:val="00E72FC3"/>
    <w:rsid w:val="00F16F66"/>
    <w:rsid w:val="00F34446"/>
    <w:rsid w:val="00F551AB"/>
    <w:rsid w:val="00F96C8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6958F4"/>
  <w15:chartTrackingRefBased/>
  <w15:docId w15:val="{984072F7-93E1-42BF-B29C-2BC96583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F16F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6F66"/>
    <w:rPr>
      <w:rFonts w:ascii="Segoe UI" w:eastAsia="Times New Roman" w:hAnsi="Segoe UI" w:cs="Segoe UI"/>
      <w:sz w:val="18"/>
      <w:szCs w:val="18"/>
      <w:lang w:val="es-ES"/>
    </w:rPr>
  </w:style>
  <w:style w:type="paragraph" w:styleId="Prrafodelista">
    <w:name w:val="List Paragraph"/>
    <w:aliases w:val="Informe"/>
    <w:basedOn w:val="Normal"/>
    <w:link w:val="PrrafodelistaCar"/>
    <w:uiPriority w:val="34"/>
    <w:qFormat/>
    <w:rsid w:val="00990364"/>
    <w:pPr>
      <w:spacing w:line="240" w:lineRule="auto"/>
      <w:ind w:left="708"/>
      <w:jc w:val="left"/>
    </w:pPr>
    <w:rPr>
      <w:rFonts w:ascii="Times New Roman" w:hAnsi="Times New Roman"/>
      <w:sz w:val="24"/>
      <w:lang w:eastAsia="es-ES"/>
    </w:rPr>
  </w:style>
  <w:style w:type="character" w:customStyle="1" w:styleId="PrrafodelistaCar">
    <w:name w:val="Párrafo de lista Car"/>
    <w:aliases w:val="Informe Car"/>
    <w:link w:val="Prrafodelista"/>
    <w:uiPriority w:val="34"/>
    <w:locked/>
    <w:rsid w:val="00990364"/>
    <w:rPr>
      <w:rFonts w:ascii="Times New Roman" w:eastAsia="Times New Roman" w:hAnsi="Times New Roman" w:cs="Times New Roman"/>
      <w:sz w:val="24"/>
      <w:szCs w:val="24"/>
      <w:lang w:val="es-ES" w:eastAsia="es-ES"/>
    </w:rPr>
  </w:style>
  <w:style w:type="table" w:styleId="Cuadrculadetablaclara">
    <w:name w:val="Grid Table Light"/>
    <w:basedOn w:val="Tablanormal"/>
    <w:uiPriority w:val="40"/>
    <w:rsid w:val="00990364"/>
    <w:pPr>
      <w:spacing w:after="0" w:line="240" w:lineRule="auto"/>
    </w:pPr>
    <w:rPr>
      <w:rFonts w:ascii="Franklin Gothic Book" w:eastAsia="Calibri" w:hAnsi="Franklin Gothic Book" w:cs="Times New Roman"/>
      <w:sz w:val="20"/>
      <w:szCs w:val="20"/>
      <w:lang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consultassicvecacredito@sugef.fi.c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riesgo/BorradoresRG/Forms/Correspondencia%20Externa%20SUGEF/plantillas-SGF-RGL-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E5A1574F014F999FC4EFF1CF158AFE"/>
        <w:category>
          <w:name w:val="General"/>
          <w:gallery w:val="placeholder"/>
        </w:category>
        <w:types>
          <w:type w:val="bbPlcHdr"/>
        </w:types>
        <w:behaviors>
          <w:behavior w:val="content"/>
        </w:behaviors>
        <w:guid w:val="{AC09DBC6-52E6-4D74-878D-842A28B42A11}"/>
      </w:docPartPr>
      <w:docPartBody>
        <w:p w:rsidR="00000000" w:rsidRDefault="00A07CFC" w:rsidP="00A07CFC">
          <w:pPr>
            <w:pStyle w:val="34E5A1574F014F999FC4EFF1CF158AFE"/>
          </w:pPr>
          <w:r w:rsidRPr="001E0779">
            <w:rPr>
              <w:rStyle w:val="Textodelmarcadordeposicin"/>
            </w:rPr>
            <w:t>Haga clic aquí para escribir texto.</w:t>
          </w:r>
        </w:p>
      </w:docPartBody>
    </w:docPart>
    <w:docPart>
      <w:docPartPr>
        <w:name w:val="D51101555F0A4B4BA1090EEB3C842C5F"/>
        <w:category>
          <w:name w:val="General"/>
          <w:gallery w:val="placeholder"/>
        </w:category>
        <w:types>
          <w:type w:val="bbPlcHdr"/>
        </w:types>
        <w:behaviors>
          <w:behavior w:val="content"/>
        </w:behaviors>
        <w:guid w:val="{3C087F64-744A-4160-A273-B389ADEAC917}"/>
      </w:docPartPr>
      <w:docPartBody>
        <w:p w:rsidR="00000000" w:rsidRDefault="00A07CFC" w:rsidP="00A07CFC">
          <w:pPr>
            <w:pStyle w:val="D51101555F0A4B4BA1090EEB3C842C5F"/>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E83"/>
    <w:rsid w:val="002F5E83"/>
    <w:rsid w:val="00A07CF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07CFC"/>
  </w:style>
  <w:style w:type="paragraph" w:customStyle="1" w:styleId="B5A744B7DF56417990D7CEA6F17FEBB7">
    <w:name w:val="B5A744B7DF56417990D7CEA6F17FEBB7"/>
  </w:style>
  <w:style w:type="paragraph" w:customStyle="1" w:styleId="C0578B27ACD74161BA0BF76EB259045D">
    <w:name w:val="C0578B27ACD74161BA0BF76EB259045D"/>
  </w:style>
  <w:style w:type="paragraph" w:customStyle="1" w:styleId="34E5A1574F014F999FC4EFF1CF158AFE">
    <w:name w:val="34E5A1574F014F999FC4EFF1CF158AFE"/>
    <w:rsid w:val="00A07CFC"/>
  </w:style>
  <w:style w:type="paragraph" w:customStyle="1" w:styleId="D51101555F0A4B4BA1090EEB3C842C5F">
    <w:name w:val="D51101555F0A4B4BA1090EEB3C842C5F"/>
    <w:rsid w:val="00A07C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woJ4Li6dTA0LjFnl9FK2x6BSO2Q1At4qlkIbMMX2q/U=</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MW2HgntayALmBsU8rZLN1S3YEBLVeTFjrU+SESk7vBE=</DigestValue>
    </Reference>
  </SignedInfo>
  <SignatureValue>MgOchsfrdDSwvbNhQ5xpjP2RbNdceuskSVnFlYAoN8YrSzhHSDeywVKX+i6kODjQWYdVYwTA8Nwb
bnDnM/PcAkON69BX9WUc9hXFHSKAaayjK8zGeSGT4TKd6qEI1i5dO07qKT4K8yJApzriaGzrDeAw
mlx6xUBPCxtEK3K24kfJKncQ/xPpmEDqMEnBA34IWVU3Us0RKByejyhOVfXzDKImB+mJmJ5BAj4h
o7fCLk9FuYzo8+KnScGYxXjZ09Oobp3FN6mQpkTU4ApNk2GOaBx9St+IVMK5MB2wUe1lHWVkrxYE
9Dyl6BSjmkmJ7HbDmOosaEXv/Bsy/Hb59/VHbw==</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w9B4tqjwEc2XZUa28k8k42HdGKkPDWfYpVDPhgKmtc4=</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F1h+QW8cQq6Doeaf9D2wdq8aKGnr3dQ2XMqgbfPPm3A=</DigestValue>
      </Reference>
      <Reference URI="/word/document.xml?ContentType=application/vnd.openxmlformats-officedocument.wordprocessingml.document.main+xml">
        <DigestMethod Algorithm="http://www.w3.org/2001/04/xmlenc#sha256"/>
        <DigestValue>L1fhVq6KgkXq2F6Taccd49wUjsV9Co+JGMRNEUPMUwo=</DigestValue>
      </Reference>
      <Reference URI="/word/endnotes.xml?ContentType=application/vnd.openxmlformats-officedocument.wordprocessingml.endnotes+xml">
        <DigestMethod Algorithm="http://www.w3.org/2001/04/xmlenc#sha256"/>
        <DigestValue>8YF1XmPF5J3LdNLfYLAxPqS1i1SmFhM7FidkwRQjJK4=</DigestValue>
      </Reference>
      <Reference URI="/word/fontTable.xml?ContentType=application/vnd.openxmlformats-officedocument.wordprocessingml.fontTable+xml">
        <DigestMethod Algorithm="http://www.w3.org/2001/04/xmlenc#sha256"/>
        <DigestValue>+g7hBbfPiKt+q1XlbIfaTlWL5Crr3OnL3Ta7hnO/5wc=</DigestValue>
      </Reference>
      <Reference URI="/word/footer1.xml?ContentType=application/vnd.openxmlformats-officedocument.wordprocessingml.footer+xml">
        <DigestMethod Algorithm="http://www.w3.org/2001/04/xmlenc#sha256"/>
        <DigestValue>mTm7x4d3YFW6rXFzLohe3i0tOAPtmoWvKjOkQ67wzLg=</DigestValue>
      </Reference>
      <Reference URI="/word/footer2.xml?ContentType=application/vnd.openxmlformats-officedocument.wordprocessingml.footer+xml">
        <DigestMethod Algorithm="http://www.w3.org/2001/04/xmlenc#sha256"/>
        <DigestValue>XKmtgJ+z9K70x6Jnqt3C9SmxkjIMGAQ1lMU2Q6V33o8=</DigestValue>
      </Reference>
      <Reference URI="/word/footer3.xml?ContentType=application/vnd.openxmlformats-officedocument.wordprocessingml.footer+xml">
        <DigestMethod Algorithm="http://www.w3.org/2001/04/xmlenc#sha256"/>
        <DigestValue>o1imCYNprcvAg1GvrfQJqRQfBxKlezj+S9vxxD5ECZM=</DigestValue>
      </Reference>
      <Reference URI="/word/footnotes.xml?ContentType=application/vnd.openxmlformats-officedocument.wordprocessingml.footnotes+xml">
        <DigestMethod Algorithm="http://www.w3.org/2001/04/xmlenc#sha256"/>
        <DigestValue>u6vVNKSHVSb6xRLpozZbrB0nMjXX7R08mr3eJrVHE3k=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oisKgMIro9vDa9ViF+gTh9+2PRrZLwlsnaVnHr/Zf0g=</DigestValue>
      </Reference>
      <Reference URI="/word/glossary/fontTable.xml?ContentType=application/vnd.openxmlformats-officedocument.wordprocessingml.fontTable+xml">
        <DigestMethod Algorithm="http://www.w3.org/2001/04/xmlenc#sha256"/>
        <DigestValue>+g7hBbfPiKt+q1XlbIfaTlWL5Crr3OnL3Ta7hnO/5wc=</DigestValue>
      </Reference>
      <Reference URI="/word/glossary/settings.xml?ContentType=application/vnd.openxmlformats-officedocument.wordprocessingml.settings+xml">
        <DigestMethod Algorithm="http://www.w3.org/2001/04/xmlenc#sha256"/>
        <DigestValue>JCL8/1JmR/SRvrwchEEM2rg0Rf6S8qpwTrX0MZmDlbE=</DigestValue>
      </Reference>
      <Reference URI="/word/glossary/styles.xml?ContentType=application/vnd.openxmlformats-officedocument.wordprocessingml.styles+xml">
        <DigestMethod Algorithm="http://www.w3.org/2001/04/xmlenc#sha256"/>
        <DigestValue>3mTOPEdmQnCM9YSGnSCn8gDyFgugUsaG0IBcsIQv32U=</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mQARKp5l08+iK3EirKixV1jjetZST7svTj/ZtM06Pa0=</DigestValue>
      </Reference>
      <Reference URI="/word/header2.xml?ContentType=application/vnd.openxmlformats-officedocument.wordprocessingml.header+xml">
        <DigestMethod Algorithm="http://www.w3.org/2001/04/xmlenc#sha256"/>
        <DigestValue>xi7f18rUAry7+qfwRd+SYAocHxLsNZGFJ3C5ZtNSZyc=</DigestValue>
      </Reference>
      <Reference URI="/word/header3.xml?ContentType=application/vnd.openxmlformats-officedocument.wordprocessingml.header+xml">
        <DigestMethod Algorithm="http://www.w3.org/2001/04/xmlenc#sha256"/>
        <DigestValue>I3/vDrDxZMM2IJeDTlxHk5STW7MHFEmDRWWjpQEWxo0=</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Kn900Ed71D/RpH0+HiUdGBQvnWUHFBjfvf2OV9bEXLw=</DigestValue>
      </Reference>
      <Reference URI="/word/settings.xml?ContentType=application/vnd.openxmlformats-officedocument.wordprocessingml.settings+xml">
        <DigestMethod Algorithm="http://www.w3.org/2001/04/xmlenc#sha256"/>
        <DigestValue>4V6N9p4+ihX1VpUBluqOPUO6x3p3pZOQB7mTqxBO+GU=</DigestValue>
      </Reference>
      <Reference URI="/word/styles.xml?ContentType=application/vnd.openxmlformats-officedocument.wordprocessingml.styles+xml">
        <DigestMethod Algorithm="http://www.w3.org/2001/04/xmlenc#sha256"/>
        <DigestValue>GOyhVFWCQhZVsVwucx6XKOzYPybVuPFKAL/TsxxGZok=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4R6+CInr/wXTFIZEF6UJNO/PGXNJ2fOomAK+MHb6KnM=</DigestValue>
      </Reference>
    </Manifest>
    <SignatureProperties>
      <SignatureProperty Id="idSignatureTime" Target="#idPackageSignature">
        <mdssi:SignatureTime xmlns:mdssi="http://schemas.openxmlformats.org/package/2006/digital-signature">
          <mdssi:Format>YYYY-MM-DDThh:mm:ssTZD</mdssi:Format>
          <mdssi:Value>2020-08-15T20:57:06Z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2020-08-15T20:57:06Z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7fpYhjJVHqJGzgMG3tPVoYi1M0b8ULA/DfsLLxeGJY4CBAo7rA8YDzIwMjAwODE1MjA1NzE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</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</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hJxmfBFsjyofC87UdWrr9ZaEYNY=</xd:ByKey>
                  </xd:ResponderID>
                  <xd:ProducedAt>2020-08-14T16:59:52Z</xd:ProducedAt>
                </xd:OCSPIdentifier>
                <xd:DigestAlgAndValue>
                  <DigestMethod Algorithm="http://www.w3.org/2001/04/xmlenc#sha256"/>
                  <DigestValue>O2XufJgB0Z0xhqufCshqCqiw0mStlYSxMekXXlJkCbY=</DigestValue>
                </xd:DigestAlgAndValue>
              </xd:OCSPRef>
            </xd:OCSPRefs>
            <xd:CRLRefs>
              <xd:CRLRef>
                <xd:DigestAlgAndValue>
                  <DigestMethod Algorithm="http://www.w3.org/2001/04/xmlenc#sha256"/>
                  <DigestValue>zhEfIB18EtBstxuZvsRHvK5yVlc1pNfnMDqx4kxMK+I=</DigestValue>
                </xd:DigestAlgAndValue>
                <xd:CRLIdentifier>
                  <xd:Issuer>CN=CA POLITICA PERSONA FISICA - COSTA RICA v2, OU=DCFD, O=MICITT, C=CR, SERIALNUMBER=CPJ-2-100-098311</xd:Issuer>
                  <xd:IssueTime>2020-07-08T16:47:17Z</xd:IssueTime>
                </xd:CRLIdentifier>
              </xd:CRLRef>
              <xd:CRLRef>
                <xd:DigestAlgAndValue>
                  <DigestMethod Algorithm="http://www.w3.org/2001/04/xmlenc#sha256"/>
                  <DigestValue>5oogyZeGbDhG0LzyS2Dt49yDLGWsgSPrJMafbH3ZacQ=</DigestValue>
                </xd:DigestAlgAndValue>
                <xd:CRLIdentifier>
                  <xd:Issuer>CN=CA RAIZ NACIONAL - COSTA RICA v2, C=CR, O=MICITT, OU=DCFD, SERIALNUMBER=CPJ-2-100-098311</xd:Issuer>
                  <xd:IssueTime>2020-05-15T17:00:18Z</xd:IssueTime>
                </xd:CRLIdentifier>
              </xd:CRLRef>
            </xd:CRLRefs>
          </xd:CompleteRevocationRefs>
          <xd:RevocationValues>
            <xd:OCSPValues>
              <xd:EncapsulatedOCSPValue>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</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</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IjOseLkfq2fhZCRjns4KkMhkmnefZY905trysSfBfXYCBAo7rBAYDzIwMjAwODE1MjA1NzE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</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8" ma:contentTypeDescription="Crear nuevo documento." ma:contentTypeScope="" ma:versionID="f281877b29d0a66c289056ec8e85ac11">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126</Value>
      <Value>63</Value>
    </TaxCatchAll>
    <OtraEntidadExterna xmlns="b875e23b-67d9-4b2e-bdec-edacbf90b326" xsi:nil="true"/>
    <Firmado xmlns="b875e23b-67d9-4b2e-bdec-edacbf90b326">true</Firmado>
    <Responsable xmlns="b875e23b-67d9-4b2e-bdec-edacbf90b326">
      <UserInfo>
        <DisplayName>MORALES BERROCAL OSCAR MARIO</DisplayName>
        <AccountId>297</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i:0#.w|pdc-atlantida\moralesbo</DisplayName>
        <AccountId>297</AccountId>
        <AccountType/>
      </UserInfo>
      <UserInfo>
        <DisplayName>i:0#.w|pdc-atlantida\sanchocc</DisplayName>
        <AccountId>1728</AccountId>
        <AccountType/>
      </UserInfo>
      <UserInfo>
        <DisplayName>i:0#.w|pdc-atlantida\hernandezam</DisplayName>
        <AccountId>307</AccountId>
        <AccountType/>
      </UserInfo>
      <UserInfo>
        <DisplayName>i:0#.w|pdc-atlantida\arriolaca</DisplayName>
        <AccountId>1825</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2020-08-14T06:00:00+00:00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por favor enviar copia de envío a los Directores Generales</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2020-08-13T17:14:00+00:00</FechaDocumento>
    <RemitenteOriginal xmlns="b875e23b-67d9-4b2e-bdec-edacbf90b326">Área Riesgo Global</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Carta Circular cambios xml crédito por COVID-19 y Ley9859</Subject1>
    <_dlc_ExpireDateSaved xmlns="http://schemas.microsoft.com/sharepoint/v3" xsi:nil="true"/>
    <_dlc_ExpireDate xmlns="http://schemas.microsoft.com/sharepoint/v3">2020-08-28T06:00:00+00:00</_dlc_Expire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4FDF97ED-E438-4E02-8DD8-A6201908DE3A}"/>
</file>

<file path=customXml/itemProps2.xml><?xml version="1.0" encoding="utf-8"?>
<ds:datastoreItem xmlns:ds="http://schemas.openxmlformats.org/officeDocument/2006/customXml" ds:itemID="{85F070F1-CBA5-4EBC-88CB-2D58CB995832}">
  <ds:schemaRefs>
    <ds:schemaRef ds:uri="http://schemas.microsoft.com/office/infopath/2007/PartnerControls"/>
    <ds:schemaRef ds:uri="http://purl.org/dc/elements/1.1/"/>
    <ds:schemaRef ds:uri="http://www.w3.org/XML/1998/namespace"/>
    <ds:schemaRef ds:uri="http://purl.org/dc/dcmitype/"/>
    <ds:schemaRef ds:uri="http://schemas.openxmlformats.org/package/2006/metadata/core-properties"/>
    <ds:schemaRef ds:uri="http://purl.org/dc/terms/"/>
    <ds:schemaRef ds:uri="http://schemas.microsoft.com/office/2006/documentManagement/types"/>
    <ds:schemaRef ds:uri="http://schemas.microsoft.com/office/2006/metadata/properties"/>
    <ds:schemaRef ds:uri="b875e23b-67d9-4b2e-bdec-edacbf90b326"/>
  </ds:schemaRefs>
</ds:datastoreItem>
</file>

<file path=customXml/itemProps3.xml><?xml version="1.0" encoding="utf-8"?>
<ds:datastoreItem xmlns:ds="http://schemas.openxmlformats.org/officeDocument/2006/customXml" ds:itemID="{62CB0C7C-4341-4B75-AAFA-A2B15800A5A2}">
  <ds:schemaRefs>
    <ds:schemaRef ds:uri="http://schemas.microsoft.com/sharepoint/v3/contenttype/forms"/>
  </ds:schemaRefs>
</ds:datastoreItem>
</file>

<file path=customXml/itemProps4.xml><?xml version="1.0" encoding="utf-8"?>
<ds:datastoreItem xmlns:ds="http://schemas.openxmlformats.org/officeDocument/2006/customXml" ds:itemID="{67C1A4EB-DA58-47F1-AD51-BD1D9183859E}"/>
</file>

<file path=customXml/itemProps5.xml><?xml version="1.0" encoding="utf-8"?>
<ds:datastoreItem xmlns:ds="http://schemas.openxmlformats.org/officeDocument/2006/customXml" ds:itemID="{DDCDB04F-B169-4D36-BBD4-5D08C2773FE1}">
  <ds:schemaRefs>
    <ds:schemaRef ds:uri="Microsoft.SharePoint.Taxonomy.ContentTypeSync"/>
  </ds:schemaRefs>
</ds:datastoreItem>
</file>

<file path=customXml/itemProps6.xml><?xml version="1.0" encoding="utf-8"?>
<ds:datastoreItem xmlns:ds="http://schemas.openxmlformats.org/officeDocument/2006/customXml" ds:itemID="{11AE0887-0973-4DFF-A4C7-E15A2131766A}"/>
</file>

<file path=docProps/app.xml><?xml version="1.0" encoding="utf-8"?>
<Properties xmlns="http://schemas.openxmlformats.org/officeDocument/2006/extended-properties" xmlns:vt="http://schemas.openxmlformats.org/officeDocument/2006/docPropsVTypes">
  <Template>plantillas-SGF-RGL-13-E</Template>
  <TotalTime>78</TotalTime>
  <Pages>4</Pages>
  <Words>1371</Words>
  <Characters>7546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BERROCAL OSCAR MARIO</dc:creator>
  <cp:keywords/>
  <dc:description/>
  <cp:lastModifiedBy>ARIAS ALFARO ALEJANDRA</cp:lastModifiedBy>
  <cp:revision>7</cp:revision>
  <dcterms:created xsi:type="dcterms:W3CDTF">2020-08-13T21:22:00Z</dcterms:created>
  <dcterms:modified xsi:type="dcterms:W3CDTF">2020-08-14T15:20:00Z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126;#Oficio|417b7e3a-1426-4267-afb3-20be5f4d6412</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20000</vt:r8>
  </property>
  <property fmtid="{D5CDD505-2E9C-101B-9397-08002B2CF9AE}" pid="12" name="_dlc_policyId">
    <vt:lpwstr>0x010100E97154E09FCE6A4E8EAEBD5C54DD1AE4|-1695030217</vt:lpwstr>
  </property>
  <property fmtid="{D5CDD505-2E9C-101B-9397-08002B2CF9AE}" pid="1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4" name="Confidencialidad">
    <vt:lpwstr>Público|99c2402f-8ec3-4ca8-8024-be52e4e7f629</vt:lpwstr>
  </property>
  <property fmtid="{D5CDD505-2E9C-101B-9397-08002B2CF9AE}" pid="15" name="WorkflowChangePath">
    <vt:lpwstr>9117168c-c0c0-43d5-af10-31f90bb255ba,4;ab7952a0-1ae5-4b26-8d7a-be63a467751b,7;</vt:lpwstr>
  </property>
</Properties>
</file>